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FE4C" w14:textId="4BED2FFE" w:rsidR="00D95313" w:rsidRDefault="00244F30" w:rsidP="00182685">
      <w:pPr>
        <w:pStyle w:val="Heading3"/>
      </w:pPr>
      <w:r>
        <w:t xml:space="preserve">EOL Policy Brief Series </w:t>
      </w:r>
      <w:r w:rsidR="00527704">
        <w:t>1:</w:t>
      </w:r>
      <w:r>
        <w:t xml:space="preserve"> </w:t>
      </w:r>
      <w:r w:rsidR="00182685">
        <w:t>The Implications of Remote Assessment</w:t>
      </w:r>
    </w:p>
    <w:p w14:paraId="347011B4" w14:textId="256FD314" w:rsidR="005D427A" w:rsidRDefault="005D427A" w:rsidP="004F3140">
      <w:pPr>
        <w:pStyle w:val="Heading3"/>
      </w:pPr>
      <w:r>
        <w:t>Introduction</w:t>
      </w:r>
    </w:p>
    <w:p w14:paraId="4E0178FC" w14:textId="4C820CD0" w:rsidR="005D427A" w:rsidRDefault="00D943C3" w:rsidP="005D427A">
      <w:r>
        <w:t xml:space="preserve">The </w:t>
      </w:r>
      <w:r w:rsidR="00B1211F">
        <w:t xml:space="preserve">Covid-19 pandemic related travel </w:t>
      </w:r>
      <w:r w:rsidR="005713E1">
        <w:t xml:space="preserve">and movement </w:t>
      </w:r>
      <w:r w:rsidR="00B1211F">
        <w:t>restrictions</w:t>
      </w:r>
      <w:r w:rsidR="005624F2">
        <w:t xml:space="preserve"> </w:t>
      </w:r>
      <w:r w:rsidR="005713E1">
        <w:t xml:space="preserve">limited </w:t>
      </w:r>
      <w:r w:rsidR="005624F2">
        <w:t xml:space="preserve">access to communities </w:t>
      </w:r>
      <w:r w:rsidR="005713E1">
        <w:t xml:space="preserve">and from </w:t>
      </w:r>
      <w:r w:rsidR="00FC7996">
        <w:t>the perspective of social accountability in education,</w:t>
      </w:r>
      <w:r w:rsidR="005624F2">
        <w:t xml:space="preserve"> created an imperative for remote assessment. </w:t>
      </w:r>
      <w:r w:rsidR="006E7DE7">
        <w:t xml:space="preserve">Street Child Nepal </w:t>
      </w:r>
      <w:r w:rsidR="00B14723">
        <w:t xml:space="preserve">had </w:t>
      </w:r>
      <w:r w:rsidR="006E7DE7">
        <w:t xml:space="preserve">carried out remote assessments as a part of its evaluation of </w:t>
      </w:r>
      <w:r w:rsidR="000C121E">
        <w:t>educational</w:t>
      </w:r>
      <w:r w:rsidR="006E7DE7">
        <w:t xml:space="preserve"> intervention</w:t>
      </w:r>
      <w:r w:rsidR="000C121E">
        <w:t>s</w:t>
      </w:r>
      <w:r w:rsidR="0052009C">
        <w:t xml:space="preserve"> during the pandemic</w:t>
      </w:r>
      <w:r w:rsidR="006E7DE7">
        <w:t xml:space="preserve">. </w:t>
      </w:r>
      <w:r w:rsidR="00131D83">
        <w:t>Since</w:t>
      </w:r>
      <w:r w:rsidR="009E24C6">
        <w:t xml:space="preserve"> assessment is key to</w:t>
      </w:r>
      <w:r w:rsidR="00131D83">
        <w:t xml:space="preserve"> Education Out Loud</w:t>
      </w:r>
      <w:r w:rsidR="00AF74AB">
        <w:t>’s</w:t>
      </w:r>
      <w:r w:rsidR="00810A2D">
        <w:t xml:space="preserve"> (EOL)</w:t>
      </w:r>
      <w:r w:rsidR="009E24C6">
        <w:t xml:space="preserve"> </w:t>
      </w:r>
      <w:r w:rsidR="00AF74AB">
        <w:t>objective</w:t>
      </w:r>
      <w:r w:rsidR="009E24C6">
        <w:t xml:space="preserve"> of</w:t>
      </w:r>
      <w:r w:rsidR="00D41622">
        <w:t xml:space="preserve"> advocacy and community mobilisation</w:t>
      </w:r>
      <w:r w:rsidR="00AF74AB">
        <w:t xml:space="preserve"> centred around educational outcomes</w:t>
      </w:r>
      <w:r w:rsidR="00942B0C">
        <w:t>, a</w:t>
      </w:r>
      <w:r w:rsidR="009D465B">
        <w:t xml:space="preserve"> pilot</w:t>
      </w:r>
      <w:r w:rsidR="0043741B">
        <w:t xml:space="preserve"> of a citizen led assessment</w:t>
      </w:r>
      <w:r w:rsidR="009D465B">
        <w:t xml:space="preserve"> has been carried out</w:t>
      </w:r>
      <w:r w:rsidR="00025924">
        <w:t xml:space="preserve"> remotely</w:t>
      </w:r>
      <w:r w:rsidR="00587EB4">
        <w:t xml:space="preserve"> using</w:t>
      </w:r>
      <w:r w:rsidR="00025924">
        <w:t xml:space="preserve"> mobile phones</w:t>
      </w:r>
      <w:r w:rsidR="009D465B">
        <w:t xml:space="preserve"> by Street Child Nepal to assess the effectiveness </w:t>
      </w:r>
      <w:r w:rsidR="007721B0">
        <w:t>of this method</w:t>
      </w:r>
      <w:r w:rsidR="00275743">
        <w:t xml:space="preserve">. This brief considers the implications of </w:t>
      </w:r>
      <w:r w:rsidR="004346AB">
        <w:t>moving assessment online</w:t>
      </w:r>
      <w:r w:rsidR="007B34CD">
        <w:t>, given the possibility of further restrictions on movement and accessing communities.</w:t>
      </w:r>
    </w:p>
    <w:p w14:paraId="7B2D7CD6" w14:textId="4DA58969" w:rsidR="00CC74D6" w:rsidRDefault="00CC74D6" w:rsidP="004F3140">
      <w:pPr>
        <w:pStyle w:val="Heading3"/>
      </w:pPr>
      <w:r>
        <w:t xml:space="preserve">Pedagogical </w:t>
      </w:r>
      <w:r w:rsidR="00373022">
        <w:t>Implications</w:t>
      </w:r>
    </w:p>
    <w:p w14:paraId="62955CDB" w14:textId="3D880404" w:rsidR="005448F6" w:rsidRPr="005448F6" w:rsidRDefault="005448F6" w:rsidP="005448F6">
      <w:r>
        <w:t xml:space="preserve">The 3 sections below consider </w:t>
      </w:r>
      <w:r w:rsidR="00285026">
        <w:t xml:space="preserve">psychological-pedagogical aspects of assessment which </w:t>
      </w:r>
      <w:r w:rsidR="00D8002D">
        <w:t>could be impacted as the mode of assessment changes from in-person to remote (phone-based).</w:t>
      </w:r>
    </w:p>
    <w:p w14:paraId="0677D0D8" w14:textId="77777777" w:rsidR="001E48F6" w:rsidRDefault="00491CBC" w:rsidP="004650B5">
      <w:pPr>
        <w:pStyle w:val="Heading5"/>
      </w:pPr>
      <w:r w:rsidRPr="001E48F6">
        <w:rPr>
          <w:rStyle w:val="Heading5Char"/>
        </w:rPr>
        <w:t xml:space="preserve">Increasing </w:t>
      </w:r>
      <w:r w:rsidR="001C0830" w:rsidRPr="001E48F6">
        <w:rPr>
          <w:rStyle w:val="Heading5Char"/>
        </w:rPr>
        <w:t xml:space="preserve">Cognitive </w:t>
      </w:r>
      <w:r w:rsidR="00FA38C3" w:rsidRPr="001E48F6">
        <w:rPr>
          <w:rStyle w:val="Heading5Char"/>
        </w:rPr>
        <w:t>Load:</w:t>
      </w:r>
      <w:r w:rsidR="001C0830">
        <w:t xml:space="preserve"> </w:t>
      </w:r>
    </w:p>
    <w:p w14:paraId="5BEF2802" w14:textId="0D609628" w:rsidR="00356B96" w:rsidRDefault="00017AC2" w:rsidP="00CC74D6">
      <w:r>
        <w:t xml:space="preserve">As per the theory of cognitive load, </w:t>
      </w:r>
      <w:r w:rsidR="00315BB4">
        <w:t xml:space="preserve">in a remote assessment carried out on the phone, </w:t>
      </w:r>
      <w:r w:rsidR="00D071F4">
        <w:t>it can be hypothesised that cognitive load may be higher.</w:t>
      </w:r>
      <w:r w:rsidR="00AF4D3E">
        <w:t xml:space="preserve"> This is a hypothesis conditional on the assumption that during in person testing, </w:t>
      </w:r>
      <w:r w:rsidR="00717605">
        <w:t xml:space="preserve">best possible </w:t>
      </w:r>
      <w:r w:rsidR="000743F7">
        <w:t xml:space="preserve">testing conditions would be better than best possible testing conditions on the phone. </w:t>
      </w:r>
      <w:r w:rsidR="00E92D87">
        <w:t>If so, t</w:t>
      </w:r>
      <w:r w:rsidR="00315BB4">
        <w:t>his can lead to higher cognitive load and lower working memory</w:t>
      </w:r>
      <w:r w:rsidR="00B42193">
        <w:fldChar w:fldCharType="begin" w:fldLock="1"/>
      </w:r>
      <w:r w:rsidR="00672C81">
        <w:instrText>ADDIN CSL_CITATION {"citationItems":[{"id":"ITEM-1","itemData":{"DOI":"10.1023/A","ISSN":"02545330","abstract":"The problem of characterizing the least expensive bond portfolio that enables one to meet his/her liability to pay C dollars K years from now is dealt with in this article. Bond prices are allowed to be either overpriced or underpriced at the purchase time, while at the sale time the bonds are suppose to be fairly priced. Assuming shifts in spot rates to occur instantly after the acquisition of a bond portfolio Z and to follow fairly general type of behavior described by the condition (2), we give both necessary and sufficient conditions for Z to solve the immunization problem above. Our model is general enough to cover situations with twists in the yield curve. Making use of the K-T conditions, we explain in remark 7 why we focus on search of an optimal portfolio in the class of barbell strategies. Finally, by means of the K-T conditions we find an optimal bond portfolio which solves the immunization problem. © J.C. Baltzer AG, Science Publishers.","author":[{"dropping-particle":"","family":"Sweller","given":"J","non-dropping-particle":"","parse-names":false,"suffix":""},{"dropping-particle":"Van","family":"Merrienboer","given":"Jeroen J.G.","non-dropping-particle":"","parse-names":false,"suffix":""},{"dropping-particle":"","family":"Paas","given":"Fred","non-dropping-particle":"","parse-names":false,"suffix":""}],"container-title":"Educational Psychology Review","id":"ITEM-1","issue":"3","issued":{"date-parts":[["1998"]]},"title":"Cogntive Architecture and Instructional Design","type":"article-journal","volume":"10"},"uris":["http://www.mendeley.com/documents/?uuid=df3b5d2b-83c6-4f3a-9c3c-72c688143b40"]}],"mendeley":{"formattedCitation":"(Sweller et al., 1998)","plainTextFormattedCitation":"(Sweller et al., 1998)","previouslyFormattedCitation":"(Sweller et al., 1998)"},"properties":{"noteIndex":0},"schema":"https://github.com/citation-style-language/schema/raw/master/csl-citation.json"}</w:instrText>
      </w:r>
      <w:r w:rsidR="00B42193">
        <w:fldChar w:fldCharType="separate"/>
      </w:r>
      <w:r w:rsidR="00B42193" w:rsidRPr="00B42193">
        <w:rPr>
          <w:noProof/>
        </w:rPr>
        <w:t>(Sweller et al., 1998)</w:t>
      </w:r>
      <w:r w:rsidR="00B42193">
        <w:fldChar w:fldCharType="end"/>
      </w:r>
      <w:r w:rsidR="00315BB4">
        <w:t>. As</w:t>
      </w:r>
      <w:r w:rsidR="00240878">
        <w:t xml:space="preserve"> a result, the working memory that is available to solve the mathematical problem or decoding the letters / abugidas for reading is lower</w:t>
      </w:r>
      <w:r w:rsidR="00672C81">
        <w:fldChar w:fldCharType="begin" w:fldLock="1"/>
      </w:r>
      <w:r w:rsidR="00672C81">
        <w:instrText>ADDIN CSL_CITATION {"citationItems":[{"id":"ITEM-1","itemData":{"DOI":"10.1023/A","ISSN":"02545330","abstract":"The problem of characterizing the least expensive bond portfolio that enables one to meet his/her liability to pay C dollars K years from now is dealt with in this article. Bond prices are allowed to be either overpriced or underpriced at the purchase time, while at the sale time the bonds are suppose to be fairly priced. Assuming shifts in spot rates to occur instantly after the acquisition of a bond portfolio Z and to follow fairly general type of behavior described by the condition (2), we give both necessary and sufficient conditions for Z to solve the immunization problem above. Our model is general enough to cover situations with twists in the yield curve. Making use of the K-T conditions, we explain in remark 7 why we focus on search of an optimal portfolio in the class of barbell strategies. Finally, by means of the K-T conditions we find an optimal bond portfolio which solves the immunization problem. © J.C. Baltzer AG, Science Publishers.","author":[{"dropping-particle":"","family":"Sweller","given":"J","non-dropping-particle":"","parse-names":false,"suffix":""},{"dropping-particle":"Van","family":"Merrienboer","given":"Jeroen J.G.","non-dropping-particle":"","parse-names":false,"suffix":""},{"dropping-particle":"","family":"Paas","given":"Fred","non-dropping-particle":"","parse-names":false,"suffix":""}],"container-title":"Educational Psychology Review","id":"ITEM-1","issue":"3","issued":{"date-parts":[["1998"]]},"title":"Cogntive Architecture and Instructional Design","type":"article-journal","volume":"10"},"uris":["http://www.mendeley.com/documents/?uuid=df3b5d2b-83c6-4f3a-9c3c-72c688143b40"]}],"mendeley":{"formattedCitation":"(Sweller et al., 1998)","plainTextFormattedCitation":"(Sweller et al., 1998)","previouslyFormattedCitation":"(Sweller et al., 1998)"},"properties":{"noteIndex":0},"schema":"https://github.com/citation-style-language/schema/raw/master/csl-citation.json"}</w:instrText>
      </w:r>
      <w:r w:rsidR="00672C81">
        <w:fldChar w:fldCharType="separate"/>
      </w:r>
      <w:r w:rsidR="00672C81" w:rsidRPr="00672C81">
        <w:rPr>
          <w:noProof/>
        </w:rPr>
        <w:t>(Sweller et al., 1998)</w:t>
      </w:r>
      <w:r w:rsidR="00672C81">
        <w:fldChar w:fldCharType="end"/>
      </w:r>
      <w:r w:rsidR="00240878">
        <w:t>.</w:t>
      </w:r>
      <w:r w:rsidR="00FA38C3">
        <w:t xml:space="preserve"> This may lead to a higher degree of incorrect responses from children.</w:t>
      </w:r>
    </w:p>
    <w:p w14:paraId="3AF71672" w14:textId="566AEE8C" w:rsidR="00CC74D6" w:rsidRDefault="00A73FF3" w:rsidP="00CC74D6">
      <w:r>
        <w:t xml:space="preserve">Examples of </w:t>
      </w:r>
      <w:r w:rsidR="00584BDE">
        <w:t>features</w:t>
      </w:r>
      <w:r w:rsidR="005D4041">
        <w:t xml:space="preserve">, present </w:t>
      </w:r>
      <w:r w:rsidR="00F33681">
        <w:t>only in</w:t>
      </w:r>
      <w:r w:rsidR="005D4041">
        <w:t xml:space="preserve"> online </w:t>
      </w:r>
      <w:r w:rsidR="006A5DD1">
        <w:t>assessment,</w:t>
      </w:r>
      <w:r w:rsidR="005D4041">
        <w:t xml:space="preserve"> </w:t>
      </w:r>
      <w:r w:rsidR="00584BDE">
        <w:t>that can contribute to higher cognitive load</w:t>
      </w:r>
      <w:r w:rsidR="00B142F6">
        <w:t>,</w:t>
      </w:r>
      <w:r w:rsidR="007F645F">
        <w:t xml:space="preserve"> </w:t>
      </w:r>
      <w:r w:rsidR="006A5DD1">
        <w:t>are paragraphs</w:t>
      </w:r>
      <w:r w:rsidR="00B142F6">
        <w:t xml:space="preserve"> and stories </w:t>
      </w:r>
      <w:r w:rsidR="007F645F">
        <w:t xml:space="preserve">for reading which are </w:t>
      </w:r>
      <w:r w:rsidR="00B142F6">
        <w:t>sent across multiple text messages. This m</w:t>
      </w:r>
      <w:r w:rsidR="00AE7CAC">
        <w:t xml:space="preserve">ay </w:t>
      </w:r>
      <w:r w:rsidR="008A0F7E">
        <w:t>lead</w:t>
      </w:r>
      <w:r w:rsidR="00793690">
        <w:t xml:space="preserve"> to ‘noise’ </w:t>
      </w:r>
      <w:r w:rsidR="00B4427B">
        <w:t xml:space="preserve">where the cognitive load of the child will </w:t>
      </w:r>
      <w:r w:rsidR="00CD21FB">
        <w:t>increase</w:t>
      </w:r>
      <w:r w:rsidR="00B4427B">
        <w:t xml:space="preserve"> by having to </w:t>
      </w:r>
      <w:r w:rsidR="00F33681">
        <w:t>watch</w:t>
      </w:r>
      <w:r w:rsidR="00B4427B">
        <w:t xml:space="preserve"> a parent navigate</w:t>
      </w:r>
      <w:r w:rsidR="005D3860">
        <w:t xml:space="preserve"> the interface of the phone, as well as other notifications that emerge in the background in the case of a smartphone</w:t>
      </w:r>
      <w:r w:rsidR="00053FED">
        <w:t>.</w:t>
      </w:r>
      <w:r w:rsidR="00D96BD3">
        <w:t xml:space="preserve"> </w:t>
      </w:r>
      <w:r w:rsidR="00AF6157">
        <w:t xml:space="preserve"> </w:t>
      </w:r>
      <w:r w:rsidR="009E279B">
        <w:t>A mitigation strategy</w:t>
      </w:r>
      <w:r w:rsidR="006A65E5">
        <w:t xml:space="preserve"> could involve ensuring the text to be read can fit into one text message. However, this character limitation would have implications on the paragraph / story component of the assessment. </w:t>
      </w:r>
    </w:p>
    <w:p w14:paraId="3F10779A" w14:textId="6851F14A" w:rsidR="00C860B5" w:rsidRDefault="00FB354B" w:rsidP="00262017">
      <w:pPr>
        <w:pStyle w:val="Heading5"/>
      </w:pPr>
      <w:r>
        <w:t>Effect on Intere</w:t>
      </w:r>
      <w:r w:rsidR="005D2B31">
        <w:t>st</w:t>
      </w:r>
    </w:p>
    <w:p w14:paraId="03852C51" w14:textId="2A308228" w:rsidR="007203C7" w:rsidRDefault="00F75E91" w:rsidP="000F50D1">
      <w:r>
        <w:t>We must also consider the implications of assess</w:t>
      </w:r>
      <w:r w:rsidR="00F90D8B">
        <w:t>ing remotely on the interest of the child. Interest is defined as ‘</w:t>
      </w:r>
      <w:r w:rsidR="00F90D8B">
        <w:rPr>
          <w:i/>
          <w:iCs/>
        </w:rPr>
        <w:t xml:space="preserve">the psychological state of engaging or the predisposition to reengage with particular classes of objects, events or ideas over time.’ </w:t>
      </w:r>
      <w:r w:rsidR="00672C81">
        <w:rPr>
          <w:i/>
          <w:iCs/>
        </w:rPr>
        <w:fldChar w:fldCharType="begin" w:fldLock="1"/>
      </w:r>
      <w:r w:rsidR="00992DB4">
        <w:rPr>
          <w:i/>
          <w:iCs/>
        </w:rPr>
        <w:instrText>ADDIN CSL_CITATION {"citationItems":[{"id":"ITEM-1","itemData":{"DOI":"10.1207/s15326985ep4102_4","ISSN":"00461520","abstract":"Building on and extending existing research, this article proposes a 4-phase model of interest development. The model describes 4 phases in the development and deepening of learner interest: triggered situational interest, maintained situational interest, emerging (less-developed) individual interest, and well-developed individual interest. Affective as well as cognitive factors are considered. Educational implications of the proposed model are identified. Copyright © 2006, Lawrence Erlbaum Associates, Inc.","author":[{"dropping-particle":"","family":"Hidi","given":"Suzanne","non-dropping-particle":"","parse-names":false,"suffix":""},{"dropping-particle":"","family":"Ann Renninger","given":"K.","non-dropping-particle":"","parse-names":false,"suffix":""}],"container-title":"Educational Psychologist","id":"ITEM-1","issue":"2","issued":{"date-parts":[["2006"]]},"page":"111-127","title":"The four-phase model of interest development","type":"article-journal","volume":"41"},"locator":"112","uris":["http://www.mendeley.com/documents/?uuid=a401b458-bbba-4007-b3ab-6c18168f7f6d"]}],"mendeley":{"formattedCitation":"(Hidi &amp; Ann Renninger, 2006, p. 112)","plainTextFormattedCitation":"(Hidi &amp; Ann Renninger, 2006, p. 112)","previouslyFormattedCitation":"(Hidi &amp; Ann Renninger, 2006, p. 112)"},"properties":{"noteIndex":0},"schema":"https://github.com/citation-style-language/schema/raw/master/csl-citation.json"}</w:instrText>
      </w:r>
      <w:r w:rsidR="00672C81">
        <w:rPr>
          <w:i/>
          <w:iCs/>
        </w:rPr>
        <w:fldChar w:fldCharType="separate"/>
      </w:r>
      <w:r w:rsidR="00644CC6" w:rsidRPr="00644CC6">
        <w:rPr>
          <w:iCs/>
          <w:noProof/>
        </w:rPr>
        <w:t>(Hidi &amp; Ann Renninger, 2006, p. 112)</w:t>
      </w:r>
      <w:r w:rsidR="00672C81">
        <w:rPr>
          <w:i/>
          <w:iCs/>
        </w:rPr>
        <w:fldChar w:fldCharType="end"/>
      </w:r>
      <w:r w:rsidR="00672C81">
        <w:rPr>
          <w:i/>
          <w:iCs/>
        </w:rPr>
        <w:t xml:space="preserve">. </w:t>
      </w:r>
      <w:r w:rsidR="00200841">
        <w:t>Interest has an affective component which interacts with a cognitive component</w:t>
      </w:r>
      <w:r w:rsidR="0020172F">
        <w:t xml:space="preserve">, and it is the outcome of an interaction between a person and particular </w:t>
      </w:r>
      <w:r w:rsidR="0019675B">
        <w:t>content. The potential for interest is in the person but the content and the environment define the direction of interest and contribute to its development</w:t>
      </w:r>
      <w:r w:rsidR="00E82DE1">
        <w:fldChar w:fldCharType="begin" w:fldLock="1"/>
      </w:r>
      <w:r w:rsidR="00A573C6">
        <w:instrText>ADDIN CSL_CITATION {"citationItems":[{"id":"ITEM-1","itemData":{"DOI":"10.1207/s15326985ep4102_4","ISSN":"00461520","abstract":"Building on and extending existing research, this article proposes a 4-phase model of interest development. The model describes 4 phases in the development and deepening of learner interest: triggered situational interest, maintained situational interest, emerging (less-developed) individual interest, and well-developed individual interest. Affective as well as cognitive factors are considered. Educational implications of the proposed model are identified. Copyright © 2006, Lawrence Erlbaum Associates, Inc.","author":[{"dropping-particle":"","family":"Hidi","given":"Suzanne","non-dropping-particle":"","parse-names":false,"suffix":""},{"dropping-particle":"","family":"Ann Renninger","given":"K.","non-dropping-particle":"","parse-names":false,"suffix":""}],"container-title":"Educational Psychologist","id":"ITEM-1","issue":"2","issued":{"date-parts":[["2006"]]},"page":"111-127","title":"The four-phase model of interest development","type":"article-journal","volume":"41"},"uris":["http://www.mendeley.com/documents/?uuid=a401b458-bbba-4007-b3ab-6c18168f7f6d"]}],"mendeley":{"formattedCitation":"(Hidi &amp; Ann Renninger, 2006)","plainTextFormattedCitation":"(Hidi &amp; Ann Renninger, 2006)","previouslyFormattedCitation":"(Hidi &amp; Ann Renninger, 2006)"},"properties":{"noteIndex":0},"schema":"https://github.com/citation-style-language/schema/raw/master/csl-citation.json"}</w:instrText>
      </w:r>
      <w:r w:rsidR="00E82DE1">
        <w:fldChar w:fldCharType="separate"/>
      </w:r>
      <w:r w:rsidR="00E82DE1" w:rsidRPr="00E82DE1">
        <w:rPr>
          <w:noProof/>
        </w:rPr>
        <w:t>(Hidi &amp; Ann Renninger, 2006)</w:t>
      </w:r>
      <w:r w:rsidR="00E82DE1">
        <w:fldChar w:fldCharType="end"/>
      </w:r>
      <w:r w:rsidR="0019675B">
        <w:t xml:space="preserve">. </w:t>
      </w:r>
      <w:r w:rsidR="002B779A">
        <w:t xml:space="preserve">It is hypothesised that the arrival </w:t>
      </w:r>
      <w:r w:rsidR="0060572E">
        <w:t>of an individual to a house and the sense of occasion of the test may affect situational interest positively</w:t>
      </w:r>
      <w:r w:rsidR="00070AF9">
        <w:t xml:space="preserve">. </w:t>
      </w:r>
      <w:r w:rsidR="00580FD4">
        <w:t xml:space="preserve">It is not to say that a phone assessment would </w:t>
      </w:r>
      <w:r w:rsidR="00A95113">
        <w:t xml:space="preserve">not trigger situational interest – the novelty of a phone-based assessment ought to hypothetically develop situational interest. </w:t>
      </w:r>
    </w:p>
    <w:p w14:paraId="4FA9728D" w14:textId="01F41209" w:rsidR="007A11DE" w:rsidRDefault="00D00797" w:rsidP="000F50D1">
      <w:r>
        <w:t xml:space="preserve">Situational interest is </w:t>
      </w:r>
      <w:r w:rsidR="0019644F">
        <w:t>motivating and</w:t>
      </w:r>
      <w:r>
        <w:t xml:space="preserve"> can play a part in a child</w:t>
      </w:r>
      <w:r w:rsidR="00FE23EB">
        <w:t>’s</w:t>
      </w:r>
      <w:r>
        <w:t xml:space="preserve"> willing</w:t>
      </w:r>
      <w:r w:rsidR="00FE23EB">
        <w:t>ness</w:t>
      </w:r>
      <w:r>
        <w:t xml:space="preserve"> to carry out the CLA</w:t>
      </w:r>
      <w:r w:rsidR="0058282C">
        <w:t>.</w:t>
      </w:r>
      <w:r w:rsidR="004D3D1E">
        <w:t xml:space="preserve"> Research has also shown situational interest has a positive impact on reading comprehension</w:t>
      </w:r>
      <w:r w:rsidR="00C26E97">
        <w:t xml:space="preserve"> (Hidi</w:t>
      </w:r>
      <w:r w:rsidR="00992DB4">
        <w:t xml:space="preserve">(1990) and Hidi </w:t>
      </w:r>
      <w:r w:rsidR="007A2EB3">
        <w:t>&amp;</w:t>
      </w:r>
      <w:r w:rsidR="00992DB4">
        <w:t xml:space="preserve"> Baird (1998) as cited in </w:t>
      </w:r>
      <w:r w:rsidR="00992DB4">
        <w:fldChar w:fldCharType="begin" w:fldLock="1"/>
      </w:r>
      <w:r w:rsidR="00BE53BD">
        <w:instrText>ADDIN CSL_CITATION {"citationItems":[{"id":"ITEM-1","itemData":{"DOI":"10.1207/s15326985ep4102_4","ISSN":"00461520","abstract":"Building on and extending existing research, this article proposes a 4-phase model of interest development. The model describes 4 phases in the development and deepening of learner interest: triggered situational interest, maintained situational interest, emerging (less-developed) individual interest, and well-developed individual interest. Affective as well as cognitive factors are considered. Educational implications of the proposed model are identified. Copyright © 2006, Lawrence Erlbaum Associates, Inc.","author":[{"dropping-particle":"","family":"Hidi","given":"Suzanne","non-dropping-particle":"","parse-names":false,"suffix":""},{"dropping-particle":"","family":"Ann Renninger","given":"K.","non-dropping-particle":"","parse-names":false,"suffix":""}],"container-title":"Educational Psychologist","id":"ITEM-1","issue":"2","issued":{"date-parts":[["2006"]]},"page":"111-127","title":"The four-phase model of interest development","type":"article-journal","volume":"41"},"uris":["http://www.mendeley.com/documents/?uuid=a401b458-bbba-4007-b3ab-6c18168f7f6d"]}],"mendeley":{"formattedCitation":"(Hidi &amp; Ann Renninger, 2006)","plainTextFormattedCitation":"(Hidi &amp; Ann Renninger, 2006)","previouslyFormattedCitation":"(Hidi &amp; Ann Renninger, 2006)"},"properties":{"noteIndex":0},"schema":"https://github.com/citation-style-language/schema/raw/master/csl-citation.json"}</w:instrText>
      </w:r>
      <w:r w:rsidR="00992DB4">
        <w:fldChar w:fldCharType="separate"/>
      </w:r>
      <w:r w:rsidR="00992DB4" w:rsidRPr="00992DB4">
        <w:rPr>
          <w:noProof/>
        </w:rPr>
        <w:t>(Hidi &amp; Ann Renninger, 2006)</w:t>
      </w:r>
      <w:r w:rsidR="00992DB4">
        <w:fldChar w:fldCharType="end"/>
      </w:r>
      <w:r w:rsidR="00206258">
        <w:t>)</w:t>
      </w:r>
      <w:r w:rsidR="00F318BA">
        <w:t>, and therefore is a crucial factor to consider</w:t>
      </w:r>
      <w:r w:rsidR="002003B5">
        <w:t xml:space="preserve"> w</w:t>
      </w:r>
      <w:r w:rsidR="00CC6596">
        <w:t xml:space="preserve">hen assessing online. </w:t>
      </w:r>
      <w:r w:rsidR="00CA349F">
        <w:t xml:space="preserve">Further, </w:t>
      </w:r>
      <w:r w:rsidR="001F0787">
        <w:t>psychological research has illustrated the impact of situational interest to help with inference</w:t>
      </w:r>
      <w:r w:rsidR="0028405C">
        <w:t xml:space="preserve">, </w:t>
      </w:r>
      <w:r w:rsidR="00E95F75">
        <w:t>linking prior schema with new knowledge</w:t>
      </w:r>
      <w:r w:rsidR="00273EC1">
        <w:t xml:space="preserve"> and focusing attention</w:t>
      </w:r>
      <w:r w:rsidR="005B4123">
        <w:t xml:space="preserve"> (McDaniel et al</w:t>
      </w:r>
      <w:r w:rsidR="003E004A">
        <w:t>. (2000) , Hidi (1995)</w:t>
      </w:r>
      <w:r w:rsidR="00F253CE">
        <w:t xml:space="preserve">, </w:t>
      </w:r>
      <w:r w:rsidR="00B55EFC">
        <w:t xml:space="preserve">Kintsch </w:t>
      </w:r>
      <w:r w:rsidR="00F253CE">
        <w:t>(</w:t>
      </w:r>
      <w:r w:rsidR="00B55EFC">
        <w:t>1980</w:t>
      </w:r>
      <w:r w:rsidR="00F253CE">
        <w:t>) as cited in</w:t>
      </w:r>
      <w:r w:rsidR="003E004A">
        <w:t xml:space="preserve"> </w:t>
      </w:r>
      <w:r w:rsidR="00593E1E">
        <w:fldChar w:fldCharType="begin" w:fldLock="1"/>
      </w:r>
      <w:r w:rsidR="00F7777E">
        <w:instrText>ADDIN CSL_CITATION {"citationItems":[{"id":"ITEM-1","itemData":{"DOI":"10.1207/s15326985ep4102_4","ISSN":"00461520","abstract":"Building on and extending existing research, this article proposes a 4-phase model of interest development. The model describes 4 phases in the development and deepening of learner interest: triggered situational interest, maintained situational interest, emerging (less-developed) individual interest, and well-developed individual interest. Affective as well as cognitive factors are considered. Educational implications of the proposed model are identified. Copyright © 2006, Lawrence Erlbaum Associates, Inc.","author":[{"dropping-particle":"","family":"Hidi","given":"Suzanne","non-dropping-particle":"","parse-names":false,"suffix":""},{"dropping-particle":"","family":"Ann Renninger","given":"K.","non-dropping-particle":"","parse-names":false,"suffix":""}],"container-title":"Educational Psychologist","id":"ITEM-1","issue":"2","issued":{"date-parts":[["2006"]]},"page":"111-127","title":"The four-phase model of interest development","type":"article-journal","volume":"41"},"uris":["http://www.mendeley.com/documents/?uuid=a401b458-bbba-4007-b3ab-6c18168f7f6d"]}],"mendeley":{"formattedCitation":"(Hidi &amp; Ann Renninger, 2006)","plainTextFormattedCitation":"(Hidi &amp; Ann Renninger, 2006)","previouslyFormattedCitation":"(Hidi &amp; Ann Renninger, 2006)"},"properties":{"noteIndex":0},"schema":"https://github.com/citation-style-language/schema/raw/master/csl-citation.json"}</w:instrText>
      </w:r>
      <w:r w:rsidR="00593E1E">
        <w:fldChar w:fldCharType="separate"/>
      </w:r>
      <w:r w:rsidR="00593E1E" w:rsidRPr="00593E1E">
        <w:rPr>
          <w:noProof/>
        </w:rPr>
        <w:t>(Hidi &amp; Ann Renninger, 2006)</w:t>
      </w:r>
      <w:r w:rsidR="00593E1E">
        <w:fldChar w:fldCharType="end"/>
      </w:r>
      <w:r w:rsidR="00273EC1">
        <w:t xml:space="preserve">. </w:t>
      </w:r>
      <w:r w:rsidR="001C387E">
        <w:t xml:space="preserve">Any </w:t>
      </w:r>
      <w:r w:rsidR="0014350C">
        <w:t>phone-based</w:t>
      </w:r>
      <w:r w:rsidR="004E2C31">
        <w:t xml:space="preserve"> assessment should ensure the situational interest among children is </w:t>
      </w:r>
      <w:r w:rsidR="00722ABA">
        <w:t>high.</w:t>
      </w:r>
    </w:p>
    <w:p w14:paraId="350A946D" w14:textId="1112BC96" w:rsidR="00B71EC5" w:rsidRDefault="00EE65EC" w:rsidP="00553A70">
      <w:pPr>
        <w:pStyle w:val="Heading5"/>
      </w:pPr>
      <w:r>
        <w:t>Academic</w:t>
      </w:r>
      <w:r w:rsidR="0029144E">
        <w:t xml:space="preserve"> </w:t>
      </w:r>
      <w:r w:rsidR="00553A70">
        <w:t>Self-Efficacy</w:t>
      </w:r>
    </w:p>
    <w:p w14:paraId="599F393E" w14:textId="3EAE31E2" w:rsidR="006B3C59" w:rsidRDefault="00A819A3" w:rsidP="006B3C59">
      <w:r>
        <w:t>Finally, a</w:t>
      </w:r>
      <w:r w:rsidR="00E246DE">
        <w:t>cademic self-efficacy refers</w:t>
      </w:r>
      <w:r w:rsidR="000E4BE3">
        <w:t xml:space="preserve"> to</w:t>
      </w:r>
      <w:r w:rsidR="00E246DE">
        <w:t xml:space="preserve"> </w:t>
      </w:r>
      <w:r w:rsidR="00FC727D">
        <w:t>the belief a child may have of themselves</w:t>
      </w:r>
      <w:r w:rsidR="00A63B4B">
        <w:t xml:space="preserve"> regarding their competency to perform a specific academic task</w:t>
      </w:r>
      <w:r w:rsidR="00173EB6">
        <w:fldChar w:fldCharType="begin" w:fldLock="1"/>
      </w:r>
      <w:r w:rsidR="001722F0">
        <w:instrText>ADDIN CSL_CITATION {"citationItems":[{"id":"ITEM-1","itemData":{"author":[{"dropping-particle":"","family":"Bong","given":"Mimi","non-dropping-particle":"","parse-names":false,"suffix":""},{"dropping-particle":"","family":"Skaalvik","given":"Einar M","non-dropping-particle":"","parse-names":false,"suffix":""}],"container-title":"Educational Psychology Review","id":"ITEM-1","issue":"1","issued":{"date-parts":[["2003"]]},"page":"1-40","title":"Academic Self-Concept and Self-Efficacy: How Different are they really?","type":"article-journal","volume":"15"},"uris":["http://www.mendeley.com/documents/?uuid=1b502662-8243-414d-be81-a0aae3103241"]}],"mendeley":{"formattedCitation":"(Bong &amp; Skaalvik, 2003)","plainTextFormattedCitation":"(Bong &amp; Skaalvik, 2003)","previouslyFormattedCitation":"(Bong &amp; Skaalvik, 2003)"},"properties":{"noteIndex":0},"schema":"https://github.com/citation-style-language/schema/raw/master/csl-citation.json"}</w:instrText>
      </w:r>
      <w:r w:rsidR="00173EB6">
        <w:fldChar w:fldCharType="separate"/>
      </w:r>
      <w:r w:rsidR="00173EB6" w:rsidRPr="00173EB6">
        <w:rPr>
          <w:noProof/>
        </w:rPr>
        <w:t>(Bong &amp; Skaalvik, 2003)</w:t>
      </w:r>
      <w:r w:rsidR="00173EB6">
        <w:fldChar w:fldCharType="end"/>
      </w:r>
      <w:r w:rsidR="00A63B4B">
        <w:t>.</w:t>
      </w:r>
      <w:r w:rsidR="00E41B4B">
        <w:t xml:space="preserve"> </w:t>
      </w:r>
      <w:r w:rsidR="006B3CFD">
        <w:t xml:space="preserve">Research upon this concept has shown that it has malleable </w:t>
      </w:r>
      <w:r w:rsidR="00A2201D">
        <w:t>properties and</w:t>
      </w:r>
      <w:r w:rsidR="006B3CFD">
        <w:t xml:space="preserve"> can be easily influenced and is to do with perception in a specific future task.</w:t>
      </w:r>
      <w:r w:rsidR="006B3C59">
        <w:t xml:space="preserve"> And like situational interest, research in self-efficacy has shown that it is predictive of performance and motivation, as per Bandura (1986) and Pajares and Miller (1994), as cited in </w:t>
      </w:r>
      <w:r w:rsidR="0036797C">
        <w:t>Bong</w:t>
      </w:r>
      <w:r w:rsidR="00DC0825">
        <w:t xml:space="preserve"> &amp; </w:t>
      </w:r>
      <w:proofErr w:type="spellStart"/>
      <w:r w:rsidR="00DC0825">
        <w:t>Skaalvik</w:t>
      </w:r>
      <w:proofErr w:type="spellEnd"/>
      <w:r w:rsidR="00DC0825">
        <w:t xml:space="preserve"> (2003)</w:t>
      </w:r>
      <w:r w:rsidR="003A3720">
        <w:t>.</w:t>
      </w:r>
    </w:p>
    <w:p w14:paraId="66696E60" w14:textId="12EAE1A9" w:rsidR="00D14AD7" w:rsidRDefault="006B3CFD" w:rsidP="00731877">
      <w:r>
        <w:lastRenderedPageBreak/>
        <w:t xml:space="preserve"> It has also been shown that self-efficacy can be influenced by verbal persuasion</w:t>
      </w:r>
      <w:r w:rsidR="00D329D2">
        <w:t xml:space="preserve">, especially if the </w:t>
      </w:r>
      <w:r w:rsidR="00A2201D">
        <w:t>persuasion is given by an individual who is an expert in that field</w:t>
      </w:r>
      <w:r w:rsidR="00173EB6">
        <w:fldChar w:fldCharType="begin" w:fldLock="1"/>
      </w:r>
      <w:r w:rsidR="001722F0">
        <w:instrText>ADDIN CSL_CITATION {"citationItems":[{"id":"ITEM-1","itemData":{"author":[{"dropping-particle":"","family":"Bong","given":"Mimi","non-dropping-particle":"","parse-names":false,"suffix":""},{"dropping-particle":"","family":"Skaalvik","given":"Einar M","non-dropping-particle":"","parse-names":false,"suffix":""}],"container-title":"Educational Psychology Review","id":"ITEM-1","issue":"1","issued":{"date-parts":[["2003"]]},"page":"1-40","title":"Academic Self-Concept and Self-Efficacy: How Different are they really?","type":"article-journal","volume":"15"},"uris":["http://www.mendeley.com/documents/?uuid=1b502662-8243-414d-be81-a0aae3103241"]}],"mendeley":{"formattedCitation":"(Bong &amp; Skaalvik, 2003)","plainTextFormattedCitation":"(Bong &amp; Skaalvik, 2003)","previouslyFormattedCitation":"(Bong &amp; Skaalvik, 2003)"},"properties":{"noteIndex":0},"schema":"https://github.com/citation-style-language/schema/raw/master/csl-citation.json"}</w:instrText>
      </w:r>
      <w:r w:rsidR="00173EB6">
        <w:fldChar w:fldCharType="separate"/>
      </w:r>
      <w:r w:rsidR="00173EB6" w:rsidRPr="00173EB6">
        <w:rPr>
          <w:noProof/>
        </w:rPr>
        <w:t>(Bong &amp; Skaalvik, 2003)</w:t>
      </w:r>
      <w:r w:rsidR="00173EB6">
        <w:fldChar w:fldCharType="end"/>
      </w:r>
      <w:r w:rsidR="00A2201D">
        <w:t xml:space="preserve">. </w:t>
      </w:r>
      <w:r w:rsidR="001F06F8">
        <w:t xml:space="preserve">Therefore, persuasion by the assessor </w:t>
      </w:r>
      <w:r w:rsidR="00534AAA">
        <w:t>at the outset of the task may help influence the child’s self-efficacy regarding the test. It may also have an impact on positive affect</w:t>
      </w:r>
      <w:r w:rsidR="00A37EAF">
        <w:t>.</w:t>
      </w:r>
      <w:r w:rsidR="00E743AE">
        <w:t xml:space="preserve"> Alternatively, if the assessor cannot establish her/his credentials</w:t>
      </w:r>
      <w:r w:rsidR="00FC034A">
        <w:t>, their persuasion may have limited effect.</w:t>
      </w:r>
      <w:r w:rsidR="00A37EAF">
        <w:t xml:space="preserve"> </w:t>
      </w:r>
      <w:r w:rsidR="00AE669C">
        <w:t>Like situational interest</w:t>
      </w:r>
      <w:r w:rsidR="003310B2">
        <w:t xml:space="preserve">, </w:t>
      </w:r>
      <w:r w:rsidR="00D24E81">
        <w:t>a strategy</w:t>
      </w:r>
      <w:r w:rsidR="00A2201D">
        <w:t xml:space="preserve"> </w:t>
      </w:r>
      <w:r w:rsidR="00E323A6">
        <w:t xml:space="preserve">that allows the assessor the build a rapport, establish their </w:t>
      </w:r>
      <w:r w:rsidR="00650657">
        <w:t>credentials,</w:t>
      </w:r>
      <w:r w:rsidR="00E323A6">
        <w:t xml:space="preserve"> and </w:t>
      </w:r>
      <w:r w:rsidR="0073243A">
        <w:t>persuade a child</w:t>
      </w:r>
      <w:r w:rsidR="00D7060B">
        <w:t xml:space="preserve"> to</w:t>
      </w:r>
      <w:r w:rsidR="0035579D">
        <w:t xml:space="preserve"> </w:t>
      </w:r>
      <w:r w:rsidR="00080964">
        <w:t>take the test</w:t>
      </w:r>
      <w:r w:rsidR="0073243A">
        <w:t xml:space="preserve"> </w:t>
      </w:r>
      <w:r w:rsidR="004650B5">
        <w:t>would have to be designed</w:t>
      </w:r>
      <w:r w:rsidR="00AE669C">
        <w:t xml:space="preserve"> to increase self-efficacy</w:t>
      </w:r>
      <w:r w:rsidR="006B3C59">
        <w:t>.</w:t>
      </w:r>
    </w:p>
    <w:p w14:paraId="50AEA6A2" w14:textId="28AD6142" w:rsidR="00A63D5D" w:rsidRDefault="00DC7F03" w:rsidP="00A63D5D">
      <w:r>
        <w:t>Overall, i</w:t>
      </w:r>
      <w:r w:rsidR="005E0DE4">
        <w:t xml:space="preserve">f </w:t>
      </w:r>
      <w:r w:rsidR="00FA3DE5">
        <w:t>online assessment affects these cognitive aspects of a child being assessed,</w:t>
      </w:r>
      <w:r w:rsidR="0068110D">
        <w:t xml:space="preserve"> </w:t>
      </w:r>
      <w:r w:rsidR="00FA3DE5">
        <w:t xml:space="preserve">we may find </w:t>
      </w:r>
      <w:r w:rsidR="00F41DA4">
        <w:t>the</w:t>
      </w:r>
      <w:r w:rsidR="005005C0">
        <w:t xml:space="preserve"> </w:t>
      </w:r>
      <w:r w:rsidR="003B707E">
        <w:t>items in the assessment</w:t>
      </w:r>
      <w:r w:rsidR="008B6FC2">
        <w:t xml:space="preserve"> illustrating</w:t>
      </w:r>
      <w:r w:rsidR="00A63D5D">
        <w:t xml:space="preserve"> Differential Item Functioning</w:t>
      </w:r>
      <w:r w:rsidR="003810B1">
        <w:t xml:space="preserve"> (DIF). DIF</w:t>
      </w:r>
      <w:r w:rsidR="00A63D5D">
        <w:t xml:space="preserve"> </w:t>
      </w:r>
      <w:r w:rsidR="00FE53DD">
        <w:t xml:space="preserve">would occur when children with the same latent ability </w:t>
      </w:r>
      <w:r w:rsidR="00BB43DB">
        <w:t>do not have the same probabilities of responding to a question correctly</w:t>
      </w:r>
      <w:r w:rsidR="00AC1601">
        <w:t xml:space="preserve"> due </w:t>
      </w:r>
      <w:r w:rsidR="00EC7E3D">
        <w:t xml:space="preserve">to </w:t>
      </w:r>
      <w:r w:rsidR="009D6735">
        <w:t>a feature of assessment</w:t>
      </w:r>
      <w:r w:rsidR="00C81FA0">
        <w:t xml:space="preserve">. </w:t>
      </w:r>
      <w:r w:rsidR="009D6735">
        <w:t xml:space="preserve"> </w:t>
      </w:r>
      <w:r w:rsidR="003810B1">
        <w:t>Therefore</w:t>
      </w:r>
      <w:r w:rsidR="006F009B">
        <w:t xml:space="preserve">, </w:t>
      </w:r>
      <w:r w:rsidR="00E23338">
        <w:t>to avoid DIF</w:t>
      </w:r>
      <w:r w:rsidR="0031172A">
        <w:t>, assessment and engagement strategies with the child would have to</w:t>
      </w:r>
      <w:r w:rsidR="00FA0D20">
        <w:t xml:space="preserve"> lower cognitive load, ensure high self-efficacy and </w:t>
      </w:r>
      <w:r w:rsidR="0007781F">
        <w:t>piq</w:t>
      </w:r>
      <w:r w:rsidR="00971563">
        <w:t>u</w:t>
      </w:r>
      <w:r w:rsidR="0052297F">
        <w:t>e</w:t>
      </w:r>
      <w:r w:rsidR="0007781F">
        <w:t xml:space="preserve"> situational interest.</w:t>
      </w:r>
    </w:p>
    <w:p w14:paraId="013AAEEB" w14:textId="77777777" w:rsidR="00782737" w:rsidRDefault="00782737" w:rsidP="00782737">
      <w:pPr>
        <w:pStyle w:val="Heading3"/>
      </w:pPr>
      <w:r>
        <w:t xml:space="preserve">Psychometric Properties </w:t>
      </w:r>
    </w:p>
    <w:p w14:paraId="43551216" w14:textId="77777777" w:rsidR="00782737" w:rsidRDefault="00782737" w:rsidP="00782737">
      <w:pPr>
        <w:pStyle w:val="Heading4"/>
      </w:pPr>
      <w:r>
        <w:t>Validity of data in remotely conducted CLAs</w:t>
      </w:r>
    </w:p>
    <w:p w14:paraId="3D7AB4FA" w14:textId="5E84CBB5" w:rsidR="00AA4923" w:rsidRDefault="00782737" w:rsidP="00782737">
      <w:r>
        <w:t xml:space="preserve">The validity of data is crucial as </w:t>
      </w:r>
      <w:r w:rsidR="00651E65">
        <w:t xml:space="preserve">it is a cornerstone </w:t>
      </w:r>
      <w:r w:rsidR="00B23A16">
        <w:t>from</w:t>
      </w:r>
      <w:r w:rsidR="00651E65">
        <w:t xml:space="preserve"> which </w:t>
      </w:r>
      <w:r w:rsidR="005E4D09">
        <w:t>policymakers</w:t>
      </w:r>
      <w:r w:rsidR="00651E65">
        <w:t>, educators and academics</w:t>
      </w:r>
      <w:r w:rsidR="00AA4923">
        <w:t xml:space="preserve"> will choose the extent to which they engage with the data</w:t>
      </w:r>
      <w:r w:rsidR="004568CF">
        <w:t xml:space="preserve"> and infer</w:t>
      </w:r>
      <w:r w:rsidR="00602461">
        <w:t xml:space="preserve"> implications for policy making.</w:t>
      </w:r>
    </w:p>
    <w:p w14:paraId="6FA31B41" w14:textId="2FBDA7C8" w:rsidR="00782737" w:rsidRDefault="00782737" w:rsidP="00C741BE">
      <w:r>
        <w:t xml:space="preserve">In </w:t>
      </w:r>
      <w:r w:rsidR="00DF5652">
        <w:t>an</w:t>
      </w:r>
      <w:r>
        <w:t xml:space="preserve"> </w:t>
      </w:r>
      <w:r w:rsidR="00602461">
        <w:t>in-person</w:t>
      </w:r>
      <w:r>
        <w:t xml:space="preserve"> mode of assessment, </w:t>
      </w:r>
      <w:r w:rsidR="004001D3">
        <w:t xml:space="preserve">validity is easily ensured by </w:t>
      </w:r>
      <w:r w:rsidR="00C7167C">
        <w:t xml:space="preserve">statistically testing validity and </w:t>
      </w:r>
      <w:r w:rsidR="00EB5A73">
        <w:t xml:space="preserve">after </w:t>
      </w:r>
      <w:r w:rsidR="00C7167C">
        <w:t>effective training is given to assessors</w:t>
      </w:r>
      <w:r w:rsidR="001D4E80">
        <w:t xml:space="preserve"> </w:t>
      </w:r>
      <w:r w:rsidR="00036EBC">
        <w:t>(as</w:t>
      </w:r>
      <w:r w:rsidR="00451894">
        <w:t xml:space="preserve"> argued </w:t>
      </w:r>
      <w:r w:rsidR="00C0192C">
        <w:t xml:space="preserve">by Vagh </w:t>
      </w:r>
      <w:r w:rsidR="00451894">
        <w:t>in</w:t>
      </w:r>
      <w:r>
        <w:t xml:space="preserve"> ‘Is simple, quick and cost effective, also valid?</w:t>
      </w:r>
      <w:r w:rsidR="00C741BE">
        <w:t xml:space="preserve"> Evaluating the ASER Hindi Reading Assessment in India</w:t>
      </w:r>
      <w:r w:rsidR="00A16C01">
        <w:t>’</w:t>
      </w:r>
      <w:r w:rsidR="00C741BE">
        <w:t xml:space="preserve"> </w:t>
      </w:r>
      <w:r>
        <w:fldChar w:fldCharType="begin" w:fldLock="1"/>
      </w:r>
      <w:r w:rsidR="00F67184">
        <w:instrText>ADDIN CSL_CITATION {"citationItems":[{"id":"ITEM-1","itemData":{"DOI":"10.15220/978-92-9189-196-2-en","ISBN":"9789291891962","abstract":"ebook presents the complete collection of papers, recommendations and a set of concrete guidelines to improve the collection and use of oral assessment data. The contributions cover experiences in more than 60 developing countries. By presenting a range of experiences from a collaborative but technically rigorous perspective, Understanding What Works in Oral Reading Assessments is uniquely designed to encourage different stakeholders to learn from each other in ways that enhance capacity, ownership and cultural sensitivity while fostering innovative forms of international collaboration. As the SDGs become a reality, governments will need more and better data to inform policies, take corrective action and monitor progress. Early detection of learning gaps will be essential to guiding remedial action and securing the ambition of the new goal to ensure that all children are in school and learning. This publication serves as a unified voice from the community of oral reading assessment practitioners, implementers and donors on the importance of early reading skills to ensure learning for all by 2030. In","author":[{"dropping-particle":"","family":"UNESCO Institute of Statistics","given":"","non-dropping-particle":"","parse-names":false,"suffix":""}],"id":"ITEM-1","issued":{"date-parts":[["2016"]]},"title":"Understanding What Works in Oral Reading Assessments","type":"book"},"uris":["http://www.mendeley.com/documents/?uuid=4440a3fa-1de7-40c2-b49d-9cf338b4776e"]}],"mendeley":{"formattedCitation":"(UNESCO Institute of Statistics, 2016)","plainTextFormattedCitation":"(UNESCO Institute of Statistics, 2016)","previouslyFormattedCitation":"(UNESCO Institute of Statistics, 2016)"},"properties":{"noteIndex":0},"schema":"https://github.com/citation-style-language/schema/raw/master/csl-citation.json"}</w:instrText>
      </w:r>
      <w:r>
        <w:fldChar w:fldCharType="separate"/>
      </w:r>
      <w:r w:rsidRPr="00987F16">
        <w:rPr>
          <w:noProof/>
        </w:rPr>
        <w:t>(UNESCO Institute of Statistics, 2016)</w:t>
      </w:r>
      <w:r>
        <w:fldChar w:fldCharType="end"/>
      </w:r>
      <w:r>
        <w:t>). The assessor can ensure that no other person or resource assists the child in answering the question. The same cannot be ensured on the phone because it would be impossible to say for sure that the child’s responses were completely based on independent cognitive skills, and there was no collaboration or assistance from a peer, parent, or sibling.</w:t>
      </w:r>
    </w:p>
    <w:p w14:paraId="06FAFC71" w14:textId="0FAD8605" w:rsidR="00782737" w:rsidRDefault="00782737" w:rsidP="00782737">
      <w:r>
        <w:t xml:space="preserve"> In the context of </w:t>
      </w:r>
      <w:r w:rsidR="00C32591">
        <w:t>implementing</w:t>
      </w:r>
      <w:r>
        <w:t xml:space="preserve"> a remote phone-based learning intervention in Botswana, protocols of assessment require that a child ought to explain the answer in order to be marked correct, as well as a time cap of 2 minutes</w:t>
      </w:r>
      <w:r w:rsidR="00E21173">
        <w:t xml:space="preserve"> when responding</w:t>
      </w:r>
      <w:r>
        <w:t xml:space="preserve">. This ensures the probability that someone assists the child is minimized </w:t>
      </w:r>
      <w:r>
        <w:fldChar w:fldCharType="begin" w:fldLock="1"/>
      </w:r>
      <w:r>
        <w:instrText>ADDIN CSL_CITATION {"citationItems":[{"id":"ITEM-1","itemData":{"DOI":"10.2139/ssrn.3663098","abstract":"The COVID-19 pandemic has closed schools for over 1.6 billion children, with potentially long-term consequences. This paper provides some of the first experimental evidence on strategies to minimize the fallout of the pandemic on education outcomes. We evaluate two low-technology interventions to substitute schooling during this period: SMS text messages and direct phone calls. We conduct a rapid trial in Botswana to inform real-time policy responses collecting data at four-to six-week intervals. We present results from the first wave. We find early evidence that both interventions result in cost-effective learning gains of 0.16 to 0.29 standard deviations. This translates to a reduction in innumeracy of up to 52 percent. We find increased parental engagement in their child's education and more accurate parent perceptions of their child's learning. In a second wave of the trial, we provide targeted instruction, customizing text messages to the child's learning level using data from the first wave. The low-tech interventions tested have immediate policy relevance and could have long-run implications for the role of technology and parents as substitutes or complements to the traditional education system. participants of the University of Oxford development economics workshop for helpful comments on the study design and early results. The intervention and rapid trial were the product of a collaboration between the Botswana Ministry of Basic Education and staff at Young 1ove who nimbly adapted during school closure to collect phone numbers and deliver low-tech interventions. There are nearly a hundred staff who deserve mention and are named on the Young 1ove website. Particular gratitude to Efua Bortsie, Colin Crossley, Thato Letsomo, and Rumbidzai Madzuzo, who coordinated and designed the low-tech programs, Patience Derera for carefully compiled cost estimates, who provided research and implementation support. We thank Madhav Chavan, Samyukta Lakshman, Devyani Pershad, Meera Tendolkar, Usha Rane and the Pratham staff for close guidance on the design of the low-tech interventions. We thank Emily Cupito and Ashleigh Morrell for sharing relevant evidence briefs to inform the low-tech interventions. We thank Dave Evans, Susannah Hares and Matthew Jukes for collaboration on measuring learning via the phone. We thank flexible funders and partners who enabled a rapid COVID-19 response, including the Mulago Foundation, the Marshall Foundation, and TaRL Africa. We …","author":[{"dropping-particle":"","family":"Angrist","given":"Noam","non-dropping-particle":"","parse-names":false,"suffix":""},{"dropping-particle":"","family":"Bergman","given":"Peter","non-dropping-particle":"","parse-names":false,"suffix":""},{"dropping-particle":"","family":"Brewster","given":"Caton","non-dropping-particle":"","parse-names":false,"suffix":""},{"dropping-particle":"","family":"Matsheng","given":"Moitshepi","non-dropping-particle":"","parse-names":false,"suffix":""}],"container-title":"SSRN Electronic Journal","id":"ITEM-1","issue":"August","issued":{"date-parts":[["2020"]]},"title":"Stemming Learning Loss During the Pandemic: A Rapid Randomized Trial of a Low-Tech Intervention in Botswana","type":"article-journal","volume":"44"},"uris":["http://www.mendeley.com/documents/?uuid=7569b574-51f9-40f6-b30b-52c00d5e4c93"]}],"mendeley":{"formattedCitation":"(Angrist, Bergman, Brewster, et al., 2020)","plainTextFormattedCitation":"(Angrist, Bergman, Brewster, et al., 2020)","previouslyFormattedCitation":"(Angrist, Bergman, Brewster, et al., 2020)"},"properties":{"noteIndex":0},"schema":"https://github.com/citation-style-language/schema/raw/master/csl-citation.json"}</w:instrText>
      </w:r>
      <w:r>
        <w:fldChar w:fldCharType="separate"/>
      </w:r>
      <w:r w:rsidRPr="000B560E">
        <w:rPr>
          <w:noProof/>
        </w:rPr>
        <w:t>(Angrist, Bergman, Brewster, et al., 2020)</w:t>
      </w:r>
      <w:r>
        <w:fldChar w:fldCharType="end"/>
      </w:r>
      <w:r>
        <w:t>. The study in Botswana had undertaken 2 parallel testing strategies, both drawn from the same population, and similar results make it confident of the validity of phone-based assessments. However, the assessments were not concurrent,</w:t>
      </w:r>
      <w:r w:rsidR="008E101A">
        <w:t xml:space="preserve"> understandably, given the context</w:t>
      </w:r>
      <w:r w:rsidR="00B060D7">
        <w:t>,</w:t>
      </w:r>
      <w:r>
        <w:t xml:space="preserve"> and not formal validity assessments </w:t>
      </w:r>
      <w:r>
        <w:fldChar w:fldCharType="begin" w:fldLock="1"/>
      </w:r>
      <w:r>
        <w:instrText>ADDIN CSL_CITATION {"citationItems":[{"id":"ITEM-1","itemData":{"DOI":"10.1136/bmjgh-2020-003030","ISSN":"20597908","abstract":"School closures affecting more than 1.5 billion children are designed to prevent the spread of current public health risks from the COVID-19 pandemic, but they simultaneously introduce new short-term and long-term health risks through lost education. Measuring these effects in real time is critical to inform effective public health responses, and remote phone-based approaches are one of the only viable options with extreme social distancing in place. However, both the health and education literature are sparse on guidance for phone-based assessments. In this article, we draw on our pilot testing of phone-based assessments in Botswana, along with the existing literature on oral testing of reading and mathematics, to propose a series of preliminary practical lessons to guide researchers and service providers as they try phone-based learning assessments. We provide preliminary evidence that phone-based assessments can accurately capture basic numeracy skills. We provide guidance to help teams (1) ensure that children are not put at risk, (2) test the reliability and validity of phone-based measures, (3) use simple instructions and practice items to ensure the assessment is focused on the target skill, not general language and test-taking skills, (4) adapt the items from oral assessments that will be most effective in phone-based assessments, (5) keep assessments brief while still gathering meaningful learning data, (6) use effective strategies to encourage respondents to pick up the phone, (7) build rapport with adult caregivers and youth respondents, (8) choose the most cost-effective medium and (9) account for potential bias in samples.","author":[{"dropping-particle":"","family":"Angrist","given":"Noam","non-dropping-particle":"","parse-names":false,"suffix":""},{"dropping-particle":"","family":"Bergman","given":"Peter","non-dropping-particle":"","parse-names":false,"suffix":""},{"dropping-particle":"","family":"Evans","given":"David K.","non-dropping-particle":"","parse-names":false,"suffix":""},{"dropping-particle":"","family":"Hares","given":"Susannah","non-dropping-particle":"","parse-names":false,"suffix":""},{"dropping-particle":"","family":"Jukes","given":"Matthew C.H.","non-dropping-particle":"","parse-names":false,"suffix":""},{"dropping-particle":"","family":"Letsomo","given":"Thato","non-dropping-particle":"","parse-names":false,"suffix":""}],"container-title":"BMJ Global Health","id":"ITEM-1","issue":"7","issued":{"date-parts":[["2020"]]},"title":"Practical lessons for phone-based assessments of learning","type":"article-journal","volume":"5"},"uris":["http://www.mendeley.com/documents/?uuid=b43ec03f-b44d-45b8-a7bb-302ae088bda3"]}],"mendeley":{"formattedCitation":"(Angrist, Bergman, Evans, et al., 2020)","plainTextFormattedCitation":"(Angrist, Bergman, Evans, et al., 2020)","previouslyFormattedCitation":"(Angrist, Bergman, Evans, et al., 2020)"},"properties":{"noteIndex":0},"schema":"https://github.com/citation-style-language/schema/raw/master/csl-citation.json"}</w:instrText>
      </w:r>
      <w:r>
        <w:fldChar w:fldCharType="separate"/>
      </w:r>
      <w:r w:rsidRPr="000B560E">
        <w:rPr>
          <w:noProof/>
        </w:rPr>
        <w:t>(Angrist, Bergman, Evans, et al., 2020)</w:t>
      </w:r>
      <w:r>
        <w:fldChar w:fldCharType="end"/>
      </w:r>
      <w:r>
        <w:t xml:space="preserve">. </w:t>
      </w:r>
      <w:r w:rsidR="009D0299">
        <w:t>Finally, the method</w:t>
      </w:r>
      <w:r w:rsidR="004F57BB">
        <w:t xml:space="preserve"> for </w:t>
      </w:r>
      <w:r w:rsidR="009F7CAD">
        <w:t>verification</w:t>
      </w:r>
      <w:r w:rsidR="009D0299">
        <w:t>, which</w:t>
      </w:r>
      <w:r>
        <w:t xml:space="preserve"> ask</w:t>
      </w:r>
      <w:r w:rsidR="00C669DA">
        <w:t>s</w:t>
      </w:r>
      <w:r>
        <w:t xml:space="preserve"> children </w:t>
      </w:r>
      <w:r w:rsidR="009F7CAD">
        <w:t>to articulate</w:t>
      </w:r>
      <w:r>
        <w:t xml:space="preserve"> their mathematics responses is testing more than knowledge of arithmetic skills</w:t>
      </w:r>
      <w:r w:rsidR="00C51129">
        <w:t xml:space="preserve"> </w:t>
      </w:r>
      <w:r w:rsidR="006A3924">
        <w:t>–</w:t>
      </w:r>
      <w:r w:rsidR="00C933F6">
        <w:t xml:space="preserve"> </w:t>
      </w:r>
      <w:r w:rsidR="006A3924">
        <w:t xml:space="preserve">must acknowledge </w:t>
      </w:r>
      <w:r w:rsidR="004744DF">
        <w:t>that it</w:t>
      </w:r>
      <w:r w:rsidR="006A3924">
        <w:t xml:space="preserve"> </w:t>
      </w:r>
      <w:r w:rsidR="000D52B2">
        <w:t>may be cognitively more demanding than the test itself.</w:t>
      </w:r>
      <w:r w:rsidR="00B471C0">
        <w:t xml:space="preserve"> This does not preclude the value of these methods but is critically appraising methods to verify and validate test results. </w:t>
      </w:r>
      <w:r>
        <w:t>There are</w:t>
      </w:r>
      <w:r w:rsidR="000D52B2">
        <w:t xml:space="preserve"> statistical methods</w:t>
      </w:r>
      <w:r>
        <w:t xml:space="preserve"> to identifying systematic errors and correcting for them. </w:t>
      </w:r>
      <w:r w:rsidR="00B455C8">
        <w:t>These methods</w:t>
      </w:r>
      <w:r>
        <w:t xml:space="preserve"> can work </w:t>
      </w:r>
      <w:r w:rsidR="00B455C8">
        <w:t>for data on</w:t>
      </w:r>
      <w:r>
        <w:t xml:space="preserve"> aggregated levels for policy purposes and not on household / hamlet levels.</w:t>
      </w:r>
    </w:p>
    <w:p w14:paraId="65B32C5A" w14:textId="77777777" w:rsidR="00782737" w:rsidRDefault="00782737" w:rsidP="00782737">
      <w:pPr>
        <w:pStyle w:val="Heading4"/>
      </w:pPr>
      <w:r>
        <w:t>Inter-rater and parallel reliability of remote CLAs</w:t>
      </w:r>
    </w:p>
    <w:p w14:paraId="549CC10A" w14:textId="72A1F345" w:rsidR="00782737" w:rsidRDefault="00782737" w:rsidP="00782737">
      <w:r>
        <w:t xml:space="preserve">Studies have been carried out on ASER </w:t>
      </w:r>
      <w:r>
        <w:fldChar w:fldCharType="begin" w:fldLock="1"/>
      </w:r>
      <w:r w:rsidR="00DE1779">
        <w:instrText>ADDIN CSL_CITATION {"citationItems":[{"id":"ITEM-1","itemData":{"author":[{"dropping-particle":"","family":"Bhattacharjea","given":"Suman","non-dropping-particle":"","parse-names":false,"suffix":""},{"dropping-particle":"","family":"Saeed","given":"Sehar","non-dropping-particle":"","parse-names":false,"suffix":""},{"dropping-particle":"","family":"Timalsina","given":"Rajib","non-dropping-particle":"","parse-names":false,"suffix":""},{"dropping-particle":"","family":"Ahamed","given":"Syeed","non-dropping-particle":"","parse-names":false,"suffix":""}],"collection-title":"Using assessment data in education policy and practice: examples from the Asia-pacific","id":"ITEM-1","issue":"4","issued":{"date-parts":[["2021"]]},"title":"Citizen-led Assessments : A Model for Evidence-based Advocacy and Action to Improve Learning","type":"report"},"uris":["http://www.mendeley.com/documents/?uuid=77d96aa8-ffe6-4485-ba75-81cd16c0b974"]}],"mendeley":{"formattedCitation":"(Bhattacharjea et al., 2021)","plainTextFormattedCitation":"(Bhattacharjea et al., 2021)","previouslyFormattedCitation":"(Bhattacharjea et al., 2021)"},"properties":{"noteIndex":0},"schema":"https://github.com/citation-style-language/schema/raw/master/csl-citation.json"}</w:instrText>
      </w:r>
      <w:r>
        <w:fldChar w:fldCharType="separate"/>
      </w:r>
      <w:r w:rsidRPr="00895B73">
        <w:rPr>
          <w:noProof/>
        </w:rPr>
        <w:t>(Bhattacharjea et al., 2021)</w:t>
      </w:r>
      <w:r>
        <w:fldChar w:fldCharType="end"/>
      </w:r>
      <w:r>
        <w:t xml:space="preserve"> and </w:t>
      </w:r>
      <w:proofErr w:type="spellStart"/>
      <w:r>
        <w:t>Uwezo</w:t>
      </w:r>
      <w:proofErr w:type="spellEnd"/>
      <w:r>
        <w:t xml:space="preserve"> to check for their inter-rater reliability and both studies illustrated a high degree of inter-rater reliability </w:t>
      </w:r>
      <w:r>
        <w:fldChar w:fldCharType="begin" w:fldLock="1"/>
      </w:r>
      <w:r>
        <w:instrText>ADDIN CSL_CITATION {"citationItems":[{"id":"ITEM-1","itemData":{"author":[{"dropping-particle":"","family":"ACER Centre for Global Education Monitoring","given":"","non-dropping-particle":"","parse-names":false,"suffix":""}],"id":"ITEM-1","issue":"June","issued":{"date-parts":[["2015"]]},"title":"REPORT ON THE CONCURRENT VALIDITY AND INTER-RATER RELIABILITY STUDIES OF UWEZO","type":"report"},"uris":["http://www.mendeley.com/documents/?uuid=d513f443-7092-4d48-b0d6-2763183c264a"]}],"mendeley":{"formattedCitation":"(ACER Centre for Global Education Monitoring, 2015)","plainTextFormattedCitation":"(ACER Centre for Global Education Monitoring, 2015)","previouslyFormattedCitation":"(ACER Centre for Global Education Monitoring, 2015)"},"properties":{"noteIndex":0},"schema":"https://github.com/citation-style-language/schema/raw/master/csl-citation.json"}</w:instrText>
      </w:r>
      <w:r>
        <w:fldChar w:fldCharType="separate"/>
      </w:r>
      <w:r w:rsidRPr="00895B73">
        <w:rPr>
          <w:noProof/>
        </w:rPr>
        <w:t>(ACER Centre for Global Education Monitoring, 2015)</w:t>
      </w:r>
      <w:r>
        <w:fldChar w:fldCharType="end"/>
      </w:r>
      <w:r>
        <w:t>. It would be crucial to see whether this inter-rater reliability is maintained, when judging reading and numeracy skills</w:t>
      </w:r>
      <w:r w:rsidR="00C27ACB">
        <w:t xml:space="preserve"> remotely</w:t>
      </w:r>
      <w:r>
        <w:t>, particularly when the assessor also must judge whether the child is performing the task independently or not. Additionally, in</w:t>
      </w:r>
      <w:r w:rsidR="00A62C6A">
        <w:t>-</w:t>
      </w:r>
      <w:r>
        <w:t>person assessments and in</w:t>
      </w:r>
      <w:r w:rsidR="00A62C6A">
        <w:t>-</w:t>
      </w:r>
      <w:r>
        <w:t>phone assessments need to have high parallel reliability which ensure that in person assessments and phone assessments are equivalent</w:t>
      </w:r>
      <w:r w:rsidR="002007A8">
        <w:t xml:space="preserve"> </w:t>
      </w:r>
      <w:r w:rsidR="00654A65">
        <w:t xml:space="preserve">as a </w:t>
      </w:r>
      <w:r>
        <w:t xml:space="preserve">study carried out in Sierra Leone </w:t>
      </w:r>
      <w:r w:rsidR="00654A65">
        <w:t>did</w:t>
      </w:r>
      <w:r>
        <w:t xml:space="preserve"> </w:t>
      </w:r>
      <w:r>
        <w:fldChar w:fldCharType="begin" w:fldLock="1"/>
      </w:r>
      <w:r>
        <w:instrText>ADDIN CSL_CITATION {"citationItems":[{"id":"ITEM-1","itemData":{"author":[{"dropping-particle":"","family":"Crawfurd","given":"Lee","non-dropping-particle":"","parse-names":false,"suffix":""},{"dropping-particle":"","family":"Evans","given":"David K","non-dropping-particle":"","parse-names":false,"suffix":""},{"dropping-particle":"","family":"Hares","given":"Susannah","non-dropping-particle":"","parse-names":false,"suffix":""}],"container-title":"Pandemic Working paper","id":"ITEM-1","issue":"591","issued":{"date-parts":[["2021"]]},"title":"Teaching and Testing by Phone in a Pandemic","type":"report"},"uris":["http://www.mendeley.com/documents/?uuid=b5c7c128-718c-48e9-9177-4a64197bfd01"]}],"mendeley":{"formattedCitation":"(Crawfurd et al., 2021)","plainTextFormattedCitation":"(Crawfurd et al., 2021)","previouslyFormattedCitation":"(Crawfurd et al., 2021)"},"properties":{"noteIndex":0},"schema":"https://github.com/citation-style-language/schema/raw/master/csl-citation.json"}</w:instrText>
      </w:r>
      <w:r>
        <w:fldChar w:fldCharType="separate"/>
      </w:r>
      <w:r w:rsidRPr="00DE4C24">
        <w:rPr>
          <w:noProof/>
        </w:rPr>
        <w:t>(Crawfurd et al., 2021)</w:t>
      </w:r>
      <w:r>
        <w:fldChar w:fldCharType="end"/>
      </w:r>
      <w:r w:rsidR="00F94D68">
        <w:t xml:space="preserve">, </w:t>
      </w:r>
      <w:r>
        <w:t xml:space="preserve">. </w:t>
      </w:r>
    </w:p>
    <w:p w14:paraId="6CC732A9" w14:textId="686C1D5B" w:rsidR="00942B0C" w:rsidRDefault="005E3AE6" w:rsidP="005E3AE6">
      <w:pPr>
        <w:pStyle w:val="Heading3"/>
      </w:pPr>
      <w:r>
        <w:t>Protection and Safeguarding considerations</w:t>
      </w:r>
    </w:p>
    <w:p w14:paraId="16AF25E5" w14:textId="0E13E2E7" w:rsidR="005E3AE6" w:rsidRPr="005E3AE6" w:rsidRDefault="004B153B" w:rsidP="005E3AE6">
      <w:r>
        <w:t>We must also consider</w:t>
      </w:r>
      <w:r w:rsidR="00646421">
        <w:t xml:space="preserve"> the protection and safeguarding aspects when an assessment is carried out remotely. </w:t>
      </w:r>
      <w:r w:rsidR="006F7A48">
        <w:t xml:space="preserve">During online classes conducted </w:t>
      </w:r>
      <w:r w:rsidR="00632E77">
        <w:t xml:space="preserve">during the Marginalised No More Project </w:t>
      </w:r>
      <w:r w:rsidR="00BC0A1E">
        <w:t>run by</w:t>
      </w:r>
      <w:r w:rsidR="00632E77">
        <w:t xml:space="preserve"> Street Child</w:t>
      </w:r>
      <w:r w:rsidR="00DD31A1">
        <w:t xml:space="preserve"> of Nepal</w:t>
      </w:r>
      <w:r w:rsidR="00632E77">
        <w:t xml:space="preserve"> from 2020-21, several parents expressed some concern </w:t>
      </w:r>
      <w:r w:rsidR="006C2D04">
        <w:t xml:space="preserve">when their daughters were </w:t>
      </w:r>
      <w:r w:rsidR="002614B5">
        <w:t>taught online by a male teacher</w:t>
      </w:r>
      <w:r w:rsidR="00BC0A1E">
        <w:t>. This was even though parents had been made aware of classes</w:t>
      </w:r>
      <w:r w:rsidR="0004748F">
        <w:t xml:space="preserve"> being conducted online</w:t>
      </w:r>
      <w:r w:rsidR="00BC0A1E">
        <w:t xml:space="preserve"> and had </w:t>
      </w:r>
      <w:r w:rsidR="00CF2E92">
        <w:t xml:space="preserve">access to </w:t>
      </w:r>
      <w:r w:rsidR="00BC0A1E">
        <w:t>community focal points who could address their queries and concerns.</w:t>
      </w:r>
      <w:r w:rsidR="00A5050B">
        <w:t xml:space="preserve"> Further discussion and reassurances were required to ensure sustained high participation of these participants.</w:t>
      </w:r>
      <w:r w:rsidR="00BC0A1E">
        <w:t xml:space="preserve"> </w:t>
      </w:r>
      <w:r w:rsidR="009432B5">
        <w:t xml:space="preserve">It is quite </w:t>
      </w:r>
      <w:r w:rsidR="00136B72">
        <w:t>likely</w:t>
      </w:r>
      <w:r w:rsidR="00DD7187">
        <w:t xml:space="preserve"> that</w:t>
      </w:r>
      <w:r w:rsidR="009432B5">
        <w:t xml:space="preserve"> parents may have some reservations about a female student being assessed by a male </w:t>
      </w:r>
      <w:r w:rsidR="00322C00">
        <w:t xml:space="preserve">assessor. </w:t>
      </w:r>
      <w:r w:rsidR="00136B72">
        <w:t xml:space="preserve">It might be a basis </w:t>
      </w:r>
      <w:r w:rsidR="00C32A77">
        <w:t xml:space="preserve">for not wanting to participate. </w:t>
      </w:r>
      <w:r w:rsidR="00A3113D">
        <w:t xml:space="preserve">Mitigation </w:t>
      </w:r>
      <w:r w:rsidR="00A3113D">
        <w:lastRenderedPageBreak/>
        <w:t>steps, which would vary as per the demands of local context</w:t>
      </w:r>
      <w:r w:rsidR="00C3332F">
        <w:t>,</w:t>
      </w:r>
      <w:r w:rsidR="00A3113D">
        <w:t xml:space="preserve"> must be taken. </w:t>
      </w:r>
      <w:r w:rsidR="001B60F5">
        <w:t>O</w:t>
      </w:r>
      <w:r w:rsidR="000A6108">
        <w:t>versight and accountability</w:t>
      </w:r>
      <w:r w:rsidR="00136B72">
        <w:t xml:space="preserve"> </w:t>
      </w:r>
      <w:r w:rsidR="007E784B">
        <w:t xml:space="preserve">such as a supervisor </w:t>
      </w:r>
      <w:r w:rsidR="000A6108">
        <w:t xml:space="preserve">monitoring a sample of calls, or recordings of </w:t>
      </w:r>
      <w:r w:rsidR="00C37E5B">
        <w:t>several</w:t>
      </w:r>
      <w:r w:rsidR="000A6108">
        <w:t xml:space="preserve"> calls</w:t>
      </w:r>
      <w:r w:rsidR="003832E7">
        <w:t xml:space="preserve"> </w:t>
      </w:r>
      <w:r w:rsidR="001B60F5">
        <w:t>would need to be carried out</w:t>
      </w:r>
      <w:r w:rsidR="00C37E5B">
        <w:t>. Research practices that apply in person for children</w:t>
      </w:r>
      <w:r w:rsidR="001B60F5">
        <w:t xml:space="preserve"> would have to be adapted to </w:t>
      </w:r>
      <w:r w:rsidR="00902737">
        <w:t>the remote(phone-based) context.</w:t>
      </w:r>
    </w:p>
    <w:p w14:paraId="1B59E458" w14:textId="5FFF6F1A" w:rsidR="00AC0E55" w:rsidRDefault="00C319CE" w:rsidP="0090229D">
      <w:pPr>
        <w:pStyle w:val="Heading3"/>
      </w:pPr>
      <w:r>
        <w:t>Implications for Inclusion</w:t>
      </w:r>
    </w:p>
    <w:p w14:paraId="5AD5351B" w14:textId="48321ACC" w:rsidR="002B2701" w:rsidRDefault="002C74B3" w:rsidP="00616175">
      <w:r>
        <w:t xml:space="preserve">Phone based </w:t>
      </w:r>
      <w:r w:rsidR="00652F92">
        <w:t>assessments can lead to a sampling bias</w:t>
      </w:r>
      <w:r w:rsidR="000312A0">
        <w:t xml:space="preserve"> as it would </w:t>
      </w:r>
      <w:r w:rsidR="00BC77F4">
        <w:t>lead towards</w:t>
      </w:r>
      <w:r w:rsidR="00221FE4">
        <w:t xml:space="preserve"> only</w:t>
      </w:r>
      <w:r w:rsidR="00BC77F4">
        <w:t xml:space="preserve"> selection of those </w:t>
      </w:r>
      <w:r w:rsidR="00221FE4">
        <w:t>with access to a phone</w:t>
      </w:r>
      <w:r w:rsidR="00A12B4D">
        <w:t xml:space="preserve">. By having a phone, </w:t>
      </w:r>
      <w:r w:rsidR="00017768">
        <w:t xml:space="preserve">and a working phone connection, the sampling bias is towards </w:t>
      </w:r>
      <w:r w:rsidR="00BC77F4">
        <w:t xml:space="preserve">the </w:t>
      </w:r>
      <w:r w:rsidR="00AC0E55">
        <w:t>privileged</w:t>
      </w:r>
      <w:r w:rsidR="00BC77F4">
        <w:t xml:space="preserve"> side of the technological / digital divide</w:t>
      </w:r>
      <w:r w:rsidR="008C6B0C">
        <w:t xml:space="preserve"> as was the case in the </w:t>
      </w:r>
      <w:r w:rsidR="00395EBD">
        <w:t xml:space="preserve">tutoring intervention in Kenya </w:t>
      </w:r>
      <w:r w:rsidR="00CF13E2">
        <w:t>(</w:t>
      </w:r>
      <w:r w:rsidR="003C61DB">
        <w:fldChar w:fldCharType="begin" w:fldLock="1"/>
      </w:r>
      <w:r w:rsidR="00A76034">
        <w:instrText>ADDIN CSL_CITATION {"citationItems":[{"id":"ITEM-1","itemData":{"DOI":"10.1136/bmjgh-2020-003030","ISSN":"20597908","abstract":"School closures affecting more than 1.5 billion children are designed to prevent the spread of current public health risks from the COVID-19 pandemic, but they simultaneously introduce new short-term and long-term health risks through lost education. Measuring these effects in real time is critical to inform effective public health responses, and remote phone-based approaches are one of the only viable options with extreme social distancing in place. However, both the health and education literature are sparse on guidance for phone-based assessments. In this article, we draw on our pilot testing of phone-based assessments in Botswana, along with the existing literature on oral testing of reading and mathematics, to propose a series of preliminary practical lessons to guide researchers and service providers as they try phone-based learning assessments. We provide preliminary evidence that phone-based assessments can accurately capture basic numeracy skills. We provide guidance to help teams (1) ensure that children are not put at risk, (2) test the reliability and validity of phone-based measures, (3) use simple instructions and practice items to ensure the assessment is focused on the target skill, not general language and test-taking skills, (4) adapt the items from oral assessments that will be most effective in phone-based assessments, (5) keep assessments brief while still gathering meaningful learning data, (6) use effective strategies to encourage respondents to pick up the phone, (7) build rapport with adult caregivers and youth respondents, (8) choose the most cost-effective medium and (9) account for potential bias in samples.","author":[{"dropping-particle":"","family":"Angrist","given":"Noam","non-dropping-particle":"","parse-names":false,"suffix":""},{"dropping-particle":"","family":"Bergman","given":"Peter","non-dropping-particle":"","parse-names":false,"suffix":""},{"dropping-particle":"","family":"Evans","given":"David K.","non-dropping-particle":"","parse-names":false,"suffix":""},{"dropping-particle":"","family":"Hares","given":"Susannah","non-dropping-particle":"","parse-names":false,"suffix":""},{"dropping-particle":"","family":"Jukes","given":"Matthew C.H.","non-dropping-particle":"","parse-names":false,"suffix":""},{"dropping-particle":"","family":"Letsomo","given":"Thato","non-dropping-particle":"","parse-names":false,"suffix":""}],"container-title":"BMJ Global Health","id":"ITEM-1","issue":"7","issued":{"date-parts":[["2020"]]},"title":"Practical lessons for phone-based assessments of learning","type":"article-journal","volume":"5"},"uris":["http://www.mendeley.com/documents/?uuid=b43ec03f-b44d-45b8-a7bb-302ae088bda3"]}],"mendeley":{"formattedCitation":"(Angrist, Bergman, Evans, et al., 2020)","plainTextFormattedCitation":"(Angrist, Bergman, Evans, et al., 2020)","previouslyFormattedCitation":"(Angrist, Bergman, Evans, et al., 2020)"},"properties":{"noteIndex":0},"schema":"https://github.com/citation-style-language/schema/raw/master/csl-citation.json"}</w:instrText>
      </w:r>
      <w:r w:rsidR="003C61DB">
        <w:fldChar w:fldCharType="separate"/>
      </w:r>
      <w:r w:rsidR="003C61DB" w:rsidRPr="003C61DB">
        <w:rPr>
          <w:noProof/>
        </w:rPr>
        <w:t>(Angrist, Bergman, Evans, et al., 2020)</w:t>
      </w:r>
      <w:r w:rsidR="003C61DB">
        <w:fldChar w:fldCharType="end"/>
      </w:r>
      <w:r w:rsidR="00CF13E2">
        <w:t>)</w:t>
      </w:r>
      <w:r w:rsidR="00352594">
        <w:t>.</w:t>
      </w:r>
      <w:r w:rsidR="00E068E5">
        <w:t xml:space="preserve"> Since several studies have documented the correlation between socio-economic status</w:t>
      </w:r>
      <w:r w:rsidR="00030166">
        <w:t xml:space="preserve"> and attainment</w:t>
      </w:r>
      <w:r w:rsidR="00033230">
        <w:t>,</w:t>
      </w:r>
      <w:r w:rsidR="00194E7A">
        <w:t xml:space="preserve"> </w:t>
      </w:r>
      <w:r w:rsidR="00030166">
        <w:t>a sample that includes only those with phones</w:t>
      </w:r>
      <w:r w:rsidR="00770599">
        <w:t xml:space="preserve"> is likely to be </w:t>
      </w:r>
      <w:r w:rsidR="009823D3">
        <w:t>non-representative of the population</w:t>
      </w:r>
      <w:r w:rsidR="00C87723">
        <w:t xml:space="preserve">. </w:t>
      </w:r>
      <w:r w:rsidR="00C87723">
        <w:fldChar w:fldCharType="begin" w:fldLock="1"/>
      </w:r>
      <w:r w:rsidR="004E50C2">
        <w:instrText>ADDIN CSL_CITATION {"citationItems":[{"id":"ITEM-1","itemData":{"abstract":"COVID-19-induced school closures generated great interest in tutoring as a strategy to make up for lost learning time. Tutoring is backed by a rigorous body of research, but it is unclear whether it can be delivered effectively remotely. We study the effect of teacher-student phone call interventions in Kenya when schools were closed. Schools (n=105) were randomly assigned for their 3rd, 5th and 6th graders (n=8,319) to receive one of two versions of a 7-week weekly math-focused intervention--5-minute accountability checks or 15-minute mini-tutoring sessions--or to the control group. Although calls increased student perceptions that teachers cared, accountability checks had no effect on math performance up to four months after the intervention and tutoring decreased math achievement among students who returned to their schools after reopening. This was, in part, because the relatively low-achieving students most likely to benefit from calls were least likely to return and take in-person assessments. Tutoring substituted away from more productive uses of time, at least among returning students. Neither intervention affected enrollment. Tutoring remains a valuable tool but to avoid unintended consequences, careful attention should be paid to aligning tutoring interventions with best practices and targeting interventions to those who will benefit most. [Innovations for Poverty Action (IPA) provided funding for this report.]","author":[{"dropping-particle":"","family":"Schueler","given":"Beth E","non-dropping-particle":"","parse-names":false,"suffix":""},{"dropping-particle":"","family":"Rodriguez-Segura","given":"Daniel","non-dropping-particle":"","parse-names":false,"suffix":""}],"container-title":"EdWorkingPaper No. 21-432","id":"ITEM-1","issue":"21","issued":{"date-parts":[["2021"]]},"title":"A Cautionary Tale of Tutoring Hard-to-Reach Students in Kenya.","type":"report"},"uris":["http://www.mendeley.com/documents/?uuid=862ea29d-7752-40df-8227-4d4ebe93ee10"]}],"mendeley":{"formattedCitation":"(Schueler &amp; Rodriguez-Segura, 2021)","plainTextFormattedCitation":"(Schueler &amp; Rodriguez-Segura, 2021)","previouslyFormattedCitation":"(Schueler &amp; Rodriguez-Segura, 2021)"},"properties":{"noteIndex":0},"schema":"https://github.com/citation-style-language/schema/raw/master/csl-citation.json"}</w:instrText>
      </w:r>
      <w:r w:rsidR="00C87723">
        <w:fldChar w:fldCharType="separate"/>
      </w:r>
      <w:r w:rsidR="00C87723" w:rsidRPr="00C87723">
        <w:rPr>
          <w:noProof/>
        </w:rPr>
        <w:t>(Schueler &amp; Rodriguez-Segura, 2021)</w:t>
      </w:r>
      <w:r w:rsidR="00C87723">
        <w:fldChar w:fldCharType="end"/>
      </w:r>
    </w:p>
    <w:p w14:paraId="30A79BC6" w14:textId="4AEC036A" w:rsidR="005E3AE6" w:rsidRPr="0089604A" w:rsidRDefault="0096325E" w:rsidP="00616175">
      <w:r>
        <w:t>On the other hand, the use of technology can also be a</w:t>
      </w:r>
      <w:r w:rsidR="008E2731">
        <w:t xml:space="preserve">n enabler to access </w:t>
      </w:r>
      <w:r>
        <w:t xml:space="preserve">remote communities particularly from the </w:t>
      </w:r>
      <w:r w:rsidR="0089604A">
        <w:rPr>
          <w:i/>
          <w:iCs/>
        </w:rPr>
        <w:t xml:space="preserve">Himal </w:t>
      </w:r>
      <w:r w:rsidR="0089604A" w:rsidRPr="00C91B20">
        <w:t>regio</w:t>
      </w:r>
      <w:r w:rsidR="00C91B20">
        <w:t>n of Nepal</w:t>
      </w:r>
      <w:r w:rsidR="0089604A">
        <w:rPr>
          <w:i/>
          <w:iCs/>
        </w:rPr>
        <w:t>,</w:t>
      </w:r>
      <w:r w:rsidR="0089604A">
        <w:t xml:space="preserve"> as well as some parts of the </w:t>
      </w:r>
      <w:r w:rsidR="0089604A">
        <w:rPr>
          <w:i/>
          <w:iCs/>
        </w:rPr>
        <w:t xml:space="preserve">Pahad </w:t>
      </w:r>
      <w:r w:rsidR="00A07364">
        <w:t>region</w:t>
      </w:r>
      <w:r w:rsidR="00DF3BAB">
        <w:t xml:space="preserve">. </w:t>
      </w:r>
      <w:r w:rsidR="00C14BE5">
        <w:t xml:space="preserve">In </w:t>
      </w:r>
      <w:r w:rsidR="00290398">
        <w:t xml:space="preserve">the caste segregated spaces and villages found in parts of the </w:t>
      </w:r>
      <w:r w:rsidR="00290398">
        <w:rPr>
          <w:i/>
          <w:iCs/>
        </w:rPr>
        <w:t>Terai</w:t>
      </w:r>
      <w:r w:rsidR="00704D9B">
        <w:rPr>
          <w:i/>
          <w:iCs/>
        </w:rPr>
        <w:t xml:space="preserve"> and Pahad</w:t>
      </w:r>
      <w:r w:rsidR="00290398">
        <w:rPr>
          <w:i/>
          <w:iCs/>
        </w:rPr>
        <w:t xml:space="preserve">, </w:t>
      </w:r>
      <w:r w:rsidR="002F29A4">
        <w:t xml:space="preserve">phone assessment </w:t>
      </w:r>
      <w:r w:rsidR="002802F8">
        <w:t>can overcome</w:t>
      </w:r>
      <w:r w:rsidR="005F488C">
        <w:t xml:space="preserve"> caste barriers</w:t>
      </w:r>
      <w:r w:rsidR="009841BF">
        <w:t>. It also overcome</w:t>
      </w:r>
      <w:r w:rsidR="00437925">
        <w:t>s</w:t>
      </w:r>
      <w:r w:rsidR="009841BF">
        <w:t xml:space="preserve"> reservations communities or families may have</w:t>
      </w:r>
      <w:r w:rsidR="0074558C">
        <w:t xml:space="preserve"> of increased risk of infectious diseases by letting an </w:t>
      </w:r>
      <w:r w:rsidR="00387B85">
        <w:t>assessor</w:t>
      </w:r>
      <w:r w:rsidR="0074558C">
        <w:t xml:space="preserve"> into their living spaces.</w:t>
      </w:r>
      <w:r w:rsidR="003E41E8">
        <w:t xml:space="preserve"> </w:t>
      </w:r>
      <w:r w:rsidR="008E2731">
        <w:t xml:space="preserve">Therefore, </w:t>
      </w:r>
      <w:r w:rsidR="00E72FF1">
        <w:t xml:space="preserve">while accessing those without a phone in a remote assessment is hard to circumvent, </w:t>
      </w:r>
      <w:r w:rsidR="00B819DD">
        <w:t>the ability to access and assess communities which normally would have been excluded</w:t>
      </w:r>
      <w:r w:rsidR="00241E50">
        <w:t xml:space="preserve"> is valuable.</w:t>
      </w:r>
    </w:p>
    <w:p w14:paraId="368D08C5" w14:textId="77777777" w:rsidR="00C47580" w:rsidRDefault="00AC0E55" w:rsidP="0090229D">
      <w:pPr>
        <w:pStyle w:val="Heading3"/>
      </w:pPr>
      <w:r>
        <w:t xml:space="preserve">Critical </w:t>
      </w:r>
      <w:r w:rsidR="00887662">
        <w:t>Perspectives:</w:t>
      </w:r>
      <w:r w:rsidR="003337AE">
        <w:t xml:space="preserve"> </w:t>
      </w:r>
    </w:p>
    <w:p w14:paraId="625E8BC4" w14:textId="3A403B89" w:rsidR="00B21919" w:rsidRDefault="00D96325" w:rsidP="00B21919">
      <w:pPr>
        <w:pStyle w:val="Heading4"/>
      </w:pPr>
      <w:r>
        <w:t>Providing feedback</w:t>
      </w:r>
    </w:p>
    <w:p w14:paraId="61D98B91" w14:textId="3515D791" w:rsidR="00A01539" w:rsidRDefault="00B21919" w:rsidP="00B21919">
      <w:r>
        <w:t xml:space="preserve"> Several large CLAs do not give immediate feedback</w:t>
      </w:r>
      <w:r w:rsidR="005A6FB4">
        <w:t xml:space="preserve"> </w:t>
      </w:r>
      <w:r w:rsidR="002F5E3C">
        <w:t>in the interests of saving time</w:t>
      </w:r>
      <w:r w:rsidR="008C28CA">
        <w:t xml:space="preserve"> in training and when conducting assessment. Beyo</w:t>
      </w:r>
      <w:r>
        <w:t xml:space="preserve">nd data collection, evidence of community mobilisation for </w:t>
      </w:r>
      <w:r w:rsidR="00876F6E">
        <w:t>stakeholder engagement and advocacy is</w:t>
      </w:r>
      <w:r>
        <w:t xml:space="preserve"> very limited </w:t>
      </w:r>
      <w:r>
        <w:fldChar w:fldCharType="begin" w:fldLock="1"/>
      </w:r>
      <w:r w:rsidR="00234AD2">
        <w:instrText>ADDIN CSL_CITATION {"citationItems":[{"id":"ITEM-1","itemData":{"abstract":"Results for Development Institute (R4D) is a nonprofit organization whose mission is to unlock solutions to tough development challenges that prevent people in low-and middle-income countries from realizing their full potential. Using multiple approaches in multiple sectors, including global education, global health, governance, and market dynamics, R4D supports the discovery and implementation of new ideas for reducing poverty and improving lives around the world.","author":[{"dropping-particle":"","family":"Results for Development Institute","given":"","non-dropping-particle":"","parse-names":false,"suffix":""}],"id":"ITEM-1","issue":"June","issued":{"date-parts":[["2015"]]},"number-of-pages":"1-66","title":"Bringing Learning to Light: The Role of Citizen-led Assessments in Shifting the Education Agenda","type":"report"},"uris":["http://www.mendeley.com/documents/?uuid=abb67ca2-37bb-47c4-9ca7-c3c267e8a28b"]}],"mendeley":{"formattedCitation":"(Results for Development Institute, 2015)","plainTextFormattedCitation":"(Results for Development Institute, 2015)","previouslyFormattedCitation":"(Results for Development Institute, 2015)"},"properties":{"noteIndex":0},"schema":"https://github.com/citation-style-language/schema/raw/master/csl-citation.json"}</w:instrText>
      </w:r>
      <w:r>
        <w:fldChar w:fldCharType="separate"/>
      </w:r>
      <w:r w:rsidR="000D0B29" w:rsidRPr="000D0B29">
        <w:rPr>
          <w:noProof/>
        </w:rPr>
        <w:t>(Results for Development Institute, 2015)</w:t>
      </w:r>
      <w:r>
        <w:fldChar w:fldCharType="end"/>
      </w:r>
      <w:r>
        <w:t>. In that context, the parent and community’s ‘</w:t>
      </w:r>
      <w:r w:rsidRPr="0043441A">
        <w:rPr>
          <w:i/>
          <w:iCs/>
        </w:rPr>
        <w:t>gain</w:t>
      </w:r>
      <w:r>
        <w:t>’ for participating in the survey</w:t>
      </w:r>
      <w:r w:rsidR="00A01539">
        <w:t xml:space="preserve"> is indirect and subject to </w:t>
      </w:r>
      <w:r w:rsidR="00304E6D">
        <w:t xml:space="preserve">policy makers taking onboard the data and implementing interventions that would particularly benefit their children. </w:t>
      </w:r>
    </w:p>
    <w:p w14:paraId="202AEDC6" w14:textId="1ED83A7F" w:rsidR="00700F03" w:rsidRDefault="001F16EC" w:rsidP="00964BF8">
      <w:r>
        <w:t>A phone or in-person assessment ought to give feedback and provide time for parents to ask questions</w:t>
      </w:r>
      <w:r w:rsidR="00BF3E9F">
        <w:t xml:space="preserve"> to increase parental and community engagement with the results. </w:t>
      </w:r>
      <w:r w:rsidR="00BD3367">
        <w:t>The two-way flow of information, responsive and adapted to the needs of the parents ameliorates the</w:t>
      </w:r>
      <w:r w:rsidR="00D96325">
        <w:t xml:space="preserve"> somewhat</w:t>
      </w:r>
      <w:r w:rsidR="00BD3367">
        <w:t xml:space="preserve"> extractive nature of assessment.</w:t>
      </w:r>
      <w:r w:rsidR="00900FEA">
        <w:t xml:space="preserve"> Perhaps for a</w:t>
      </w:r>
      <w:r w:rsidR="005C7380">
        <w:t xml:space="preserve">n </w:t>
      </w:r>
      <w:r w:rsidR="00900FEA">
        <w:t>assessment</w:t>
      </w:r>
      <w:r w:rsidR="005C7380">
        <w:t xml:space="preserve"> exercise</w:t>
      </w:r>
      <w:r w:rsidR="00900FEA">
        <w:t xml:space="preserve"> </w:t>
      </w:r>
      <w:r w:rsidR="005C7380">
        <w:t xml:space="preserve">tangibly </w:t>
      </w:r>
      <w:r w:rsidR="00900FEA">
        <w:t>owned</w:t>
      </w:r>
      <w:r w:rsidR="00700F03">
        <w:t xml:space="preserve"> and operated by </w:t>
      </w:r>
      <w:r w:rsidR="006B0F5A">
        <w:t xml:space="preserve">the </w:t>
      </w:r>
      <w:r w:rsidR="00700F03">
        <w:t xml:space="preserve">community, </w:t>
      </w:r>
      <w:r w:rsidR="001200F7">
        <w:t xml:space="preserve">implementation can include extensive training on understanding </w:t>
      </w:r>
      <w:r w:rsidR="008720DF">
        <w:t>the assessment process and</w:t>
      </w:r>
      <w:r w:rsidR="001200F7">
        <w:t xml:space="preserve"> results</w:t>
      </w:r>
      <w:r w:rsidR="008720DF">
        <w:t>, within a broader framework of citizenship</w:t>
      </w:r>
      <w:r w:rsidR="008657CD">
        <w:t>, accountability</w:t>
      </w:r>
      <w:r w:rsidR="008720DF">
        <w:t xml:space="preserve"> and rights</w:t>
      </w:r>
      <w:r w:rsidR="001200F7">
        <w:t xml:space="preserve">. </w:t>
      </w:r>
      <w:r w:rsidR="00C5598B">
        <w:t>Not only would this leave the community with a pedagogical product</w:t>
      </w:r>
      <w:r w:rsidR="00281879">
        <w:t xml:space="preserve">, </w:t>
      </w:r>
      <w:r w:rsidR="001A5618">
        <w:t>but it would also</w:t>
      </w:r>
      <w:r w:rsidR="00281879">
        <w:t xml:space="preserve"> increase their engagement with the </w:t>
      </w:r>
      <w:r w:rsidR="00272529">
        <w:t xml:space="preserve">CLA exercise too. </w:t>
      </w:r>
      <w:r w:rsidR="003C7725">
        <w:t xml:space="preserve">The magnitude of </w:t>
      </w:r>
      <w:r w:rsidR="000A4917">
        <w:t>such a task, if carried out</w:t>
      </w:r>
      <w:r w:rsidR="00BA5AEE">
        <w:t>,</w:t>
      </w:r>
      <w:r w:rsidR="000A4917">
        <w:t xml:space="preserve"> would be extensive</w:t>
      </w:r>
      <w:r w:rsidR="00BA5AEE">
        <w:t xml:space="preserve"> as</w:t>
      </w:r>
      <w:r w:rsidR="003C7725">
        <w:t xml:space="preserve"> it would have to</w:t>
      </w:r>
      <w:r w:rsidR="00272529">
        <w:t xml:space="preserve"> overcome many social and education barriers</w:t>
      </w:r>
      <w:r w:rsidR="00B0588E">
        <w:t>. While it would be resource intensive and outside the scope of</w:t>
      </w:r>
      <w:r w:rsidR="00BA5AEE">
        <w:t xml:space="preserve"> the</w:t>
      </w:r>
      <w:r w:rsidR="00B0588E">
        <w:t xml:space="preserve"> EOL,</w:t>
      </w:r>
      <w:r w:rsidR="00F04621">
        <w:t xml:space="preserve"> it is nevertheless posited as</w:t>
      </w:r>
      <w:r w:rsidR="00B0588E">
        <w:t xml:space="preserve"> </w:t>
      </w:r>
      <w:r w:rsidR="002B0FE7">
        <w:t>the normative value for a community is immense.</w:t>
      </w:r>
      <w:r w:rsidR="00240B6D">
        <w:t xml:space="preserve"> </w:t>
      </w:r>
    </w:p>
    <w:p w14:paraId="4142CBE8" w14:textId="63050284" w:rsidR="00964BF8" w:rsidRPr="00964BF8" w:rsidRDefault="00BD3367" w:rsidP="00964BF8">
      <w:r>
        <w:t xml:space="preserve"> </w:t>
      </w:r>
      <w:r w:rsidR="003B0B67">
        <w:t xml:space="preserve">Further, </w:t>
      </w:r>
      <w:r w:rsidR="00D96325">
        <w:t>phone-based</w:t>
      </w:r>
      <w:r w:rsidR="003B0B67">
        <w:t xml:space="preserve"> assessments can be more efficient from the perspective of time</w:t>
      </w:r>
      <w:r w:rsidR="005D43A5">
        <w:t xml:space="preserve"> and less extractive</w:t>
      </w:r>
      <w:r w:rsidR="00D77FC2">
        <w:t xml:space="preserve"> as unlike in person assessments conducted at home</w:t>
      </w:r>
      <w:r w:rsidR="00C14BE5">
        <w:t xml:space="preserve">, there are no </w:t>
      </w:r>
      <w:r w:rsidR="00D33120">
        <w:t>social expectations of hospitality that several communities in South Asia feel</w:t>
      </w:r>
      <w:r w:rsidR="00984B1C">
        <w:t xml:space="preserve"> obliged to adhere to when having visitors at home. </w:t>
      </w:r>
      <w:r w:rsidR="008F75F9">
        <w:t>N</w:t>
      </w:r>
      <w:r w:rsidR="006C08E9">
        <w:t xml:space="preserve">otwithstanding </w:t>
      </w:r>
      <w:r w:rsidR="00436FC1">
        <w:t>that</w:t>
      </w:r>
      <w:r w:rsidR="00D15B16">
        <w:t>,</w:t>
      </w:r>
      <w:r w:rsidR="00964BF8">
        <w:t xml:space="preserve"> we must </w:t>
      </w:r>
      <w:r w:rsidR="00157627">
        <w:t>account</w:t>
      </w:r>
      <w:r w:rsidR="00964BF8">
        <w:t xml:space="preserve"> for research fatigue</w:t>
      </w:r>
      <w:r w:rsidR="003762D4">
        <w:t xml:space="preserve"> that emerges from extensive research that is carried out by </w:t>
      </w:r>
      <w:r w:rsidR="00520D68">
        <w:t xml:space="preserve">a </w:t>
      </w:r>
      <w:r w:rsidR="003762D4">
        <w:t>growing social science discipline</w:t>
      </w:r>
      <w:r w:rsidR="00964BF8">
        <w:t xml:space="preserve"> among vulnerable communities. W</w:t>
      </w:r>
      <w:r w:rsidR="00964BF8" w:rsidRPr="00964BF8">
        <w:t>e must question whether expecting parents to co-operate</w:t>
      </w:r>
      <w:r w:rsidR="005809FF">
        <w:t xml:space="preserve"> and repeatedly </w:t>
      </w:r>
      <w:r w:rsidR="00964BF8" w:rsidRPr="00964BF8">
        <w:t xml:space="preserve">create an environment and observe protocols for effective, </w:t>
      </w:r>
      <w:r w:rsidR="001A2080" w:rsidRPr="00964BF8">
        <w:t>efficient,</w:t>
      </w:r>
      <w:r w:rsidR="00964BF8" w:rsidRPr="00964BF8">
        <w:t xml:space="preserve"> and economical assessment</w:t>
      </w:r>
      <w:r w:rsidR="00CB306C">
        <w:t xml:space="preserve"> </w:t>
      </w:r>
      <w:r w:rsidR="009F63E7">
        <w:t>is reasonable.</w:t>
      </w:r>
    </w:p>
    <w:p w14:paraId="2F0BA06E" w14:textId="5B185C04" w:rsidR="00FE4996" w:rsidRDefault="00F65A23" w:rsidP="00A907BD">
      <w:pPr>
        <w:pStyle w:val="Heading4"/>
      </w:pPr>
      <w:r>
        <w:t>Increased Cultural Distance</w:t>
      </w:r>
    </w:p>
    <w:p w14:paraId="6CBD3A77" w14:textId="408D7D03" w:rsidR="008E3400" w:rsidRDefault="003828A6" w:rsidP="00CF13E2">
      <w:r>
        <w:t>The notion of assessment as defined by contemporary standards, itself is alien and possibly illogical to some cultures</w:t>
      </w:r>
      <w:r w:rsidR="00287A68">
        <w:t xml:space="preserve"> </w:t>
      </w:r>
      <w:r w:rsidR="00287A68">
        <w:fldChar w:fldCharType="begin" w:fldLock="1"/>
      </w:r>
      <w:r w:rsidR="003C61DB">
        <w:instrText>ADDIN CSL_CITATION {"citationItems":[{"id":"ITEM-1","itemData":{"DOI":"10.1080/03050060601162370","ISSN":"03050068","abstract":"Instruction and assessment need to be understood and thought about within the cultural context in which they occur. Educators and educational researchers may make assumptions that apply in their home culture but not elsewhere. And even different subcultures within an overall mainstream culture may have different views on instruction and assessment, and what constitutes intelligent performance in each. In this article, I consider the relevance of culture to instruction and assessment. I describe studies that show the importance of understanding instruction and assessment in their cultural contexts, and conclude that education and its goals must be understood in such contexts.","author":[{"dropping-particle":"","family":"Sternberg","given":"Robert J.","non-dropping-particle":"","parse-names":false,"suffix":""}],"container-title":"Comparative Education","id":"ITEM-1","issue":"1","issued":{"date-parts":[["2007"]]},"page":"5-22","title":"Culture, instruction, and assessment","type":"article-journal","volume":"43"},"uris":["http://www.mendeley.com/documents/?uuid=44adfb41-43fa-4c99-9360-38705dd34037"]}],"mendeley":{"formattedCitation":"(Sternberg, 2007)","plainTextFormattedCitation":"(Sternberg, 2007)","previouslyFormattedCitation":"(Sternberg, 2007)"},"properties":{"noteIndex":0},"schema":"https://github.com/citation-style-language/schema/raw/master/csl-citation.json"}</w:instrText>
      </w:r>
      <w:r w:rsidR="00287A68">
        <w:fldChar w:fldCharType="separate"/>
      </w:r>
      <w:r w:rsidR="00287A68" w:rsidRPr="00287A68">
        <w:rPr>
          <w:noProof/>
        </w:rPr>
        <w:t>(Sternberg, 2007)</w:t>
      </w:r>
      <w:r w:rsidR="00287A68">
        <w:fldChar w:fldCharType="end"/>
      </w:r>
      <w:r w:rsidR="00B4460B">
        <w:t>.</w:t>
      </w:r>
      <w:r w:rsidR="007F0D0F">
        <w:t xml:space="preserve"> </w:t>
      </w:r>
      <w:r w:rsidR="00612710">
        <w:t>W</w:t>
      </w:r>
      <w:r w:rsidR="007F0D0F">
        <w:t>hat is being assessed</w:t>
      </w:r>
      <w:r w:rsidR="00612710">
        <w:t xml:space="preserve"> </w:t>
      </w:r>
      <w:r w:rsidR="007F0D0F">
        <w:t xml:space="preserve">is non-neutral, as has been discussed adequately in the literature as well as the EOL </w:t>
      </w:r>
      <w:r w:rsidR="009F63E7">
        <w:t>paper series</w:t>
      </w:r>
      <w:r w:rsidR="007F0D0F">
        <w:t>.</w:t>
      </w:r>
      <w:r w:rsidR="00A74BC4">
        <w:t xml:space="preserve"> The act of assessment itself is non-neutral.</w:t>
      </w:r>
      <w:r w:rsidR="00612710">
        <w:t xml:space="preserve"> </w:t>
      </w:r>
      <w:r w:rsidR="008F251F">
        <w:t>Sternberg</w:t>
      </w:r>
      <w:r w:rsidR="00B76F12">
        <w:t xml:space="preserve"> (2007)</w:t>
      </w:r>
      <w:r w:rsidR="008F251F">
        <w:t xml:space="preserve"> describes how </w:t>
      </w:r>
      <w:r w:rsidR="002236EA">
        <w:t xml:space="preserve">certain indigenous communities where people solve problems as a team would find it unnatural and strange that </w:t>
      </w:r>
      <w:r w:rsidR="00A76410">
        <w:t xml:space="preserve">the assessment </w:t>
      </w:r>
      <w:r w:rsidR="00DA3C66">
        <w:t>must</w:t>
      </w:r>
      <w:r w:rsidR="00A76410">
        <w:t xml:space="preserve"> be carried out alone.</w:t>
      </w:r>
      <w:r w:rsidR="00B4460B">
        <w:t xml:space="preserve"> I</w:t>
      </w:r>
      <w:r w:rsidR="006E6491">
        <w:t xml:space="preserve">t would be important to explore whether </w:t>
      </w:r>
      <w:r w:rsidR="00DA3C66">
        <w:t xml:space="preserve">the presence of an </w:t>
      </w:r>
      <w:r w:rsidR="00B46081">
        <w:t>assessor</w:t>
      </w:r>
      <w:r w:rsidR="00DA3C66">
        <w:t xml:space="preserve"> who is a member of their community reduces this disconnect</w:t>
      </w:r>
      <w:r w:rsidR="00B46081">
        <w:t>.</w:t>
      </w:r>
      <w:r w:rsidR="00DA3C66">
        <w:t xml:space="preserve"> </w:t>
      </w:r>
      <w:r w:rsidR="000467AF">
        <w:t>Overall, it is important to consider whether re</w:t>
      </w:r>
      <w:r w:rsidR="00C51B7C">
        <w:t>mote assessment</w:t>
      </w:r>
      <w:r w:rsidR="00D20AB3">
        <w:t xml:space="preserve"> exacerbates the </w:t>
      </w:r>
      <w:r w:rsidR="008005E9">
        <w:t>communities</w:t>
      </w:r>
      <w:r w:rsidR="00D20AB3">
        <w:t xml:space="preserve"> disconnect with assessment</w:t>
      </w:r>
      <w:r w:rsidR="00610267">
        <w:t>?</w:t>
      </w:r>
    </w:p>
    <w:p w14:paraId="5F41E841" w14:textId="3BEA7254" w:rsidR="00F825E3" w:rsidRDefault="00F825E3" w:rsidP="004F3140">
      <w:pPr>
        <w:pStyle w:val="Heading3"/>
      </w:pPr>
      <w:r>
        <w:lastRenderedPageBreak/>
        <w:t>Conclusion</w:t>
      </w:r>
    </w:p>
    <w:p w14:paraId="10CA78A0" w14:textId="103825AE" w:rsidR="00553E18" w:rsidRDefault="00C7610E" w:rsidP="00CF13E2">
      <w:r>
        <w:t xml:space="preserve">In conclusion, </w:t>
      </w:r>
      <w:r w:rsidR="00D40477">
        <w:t>s</w:t>
      </w:r>
      <w:r w:rsidR="006331EB">
        <w:t xml:space="preserve">trategies for remote assessment must account for </w:t>
      </w:r>
      <w:r w:rsidR="00DB1998">
        <w:t xml:space="preserve">pedagogical implications of remote assessment and ensure interest, self-efficacy remains high and </w:t>
      </w:r>
      <w:r w:rsidR="008A60A6">
        <w:t xml:space="preserve">cognitive load remains low among students. </w:t>
      </w:r>
      <w:r w:rsidR="007434E7">
        <w:t xml:space="preserve">Safeguarding training and </w:t>
      </w:r>
      <w:r w:rsidR="002F0A90">
        <w:t xml:space="preserve">operating procedures should adapt to an online mode of testing. </w:t>
      </w:r>
      <w:r w:rsidR="00C62128">
        <w:t>High psychometric properties</w:t>
      </w:r>
      <w:r w:rsidR="00300757">
        <w:t xml:space="preserve"> for the assessment framework</w:t>
      </w:r>
      <w:r w:rsidR="00C62128">
        <w:t xml:space="preserve"> are essential if these results </w:t>
      </w:r>
      <w:r w:rsidR="009B06CA">
        <w:t>are to be used</w:t>
      </w:r>
      <w:r>
        <w:t xml:space="preserve"> for evidence-based policy making.</w:t>
      </w:r>
      <w:r w:rsidR="002F0A90">
        <w:t xml:space="preserve"> While remote assessment can exclude those without phones, it should strive to include those communities who </w:t>
      </w:r>
      <w:r w:rsidR="00A972C4">
        <w:t>are normally too far to travel to. Taking</w:t>
      </w:r>
      <w:r w:rsidR="00836BD6">
        <w:t xml:space="preserve"> cognisance of gaps in the past</w:t>
      </w:r>
      <w:r w:rsidR="00383282">
        <w:t>,</w:t>
      </w:r>
      <w:r w:rsidR="00836BD6">
        <w:t xml:space="preserve"> remote interaction ought to be </w:t>
      </w:r>
      <w:r w:rsidR="00926CA7">
        <w:t>harnessed as a force multiplier to increase in</w:t>
      </w:r>
      <w:r w:rsidR="00383282">
        <w:t xml:space="preserve"> engagement and mobilisation of communities with the data</w:t>
      </w:r>
      <w:r w:rsidR="005D1BB8">
        <w:t xml:space="preserve"> at</w:t>
      </w:r>
      <w:r w:rsidR="00383282">
        <w:t xml:space="preserve"> pre-assessment</w:t>
      </w:r>
      <w:r w:rsidR="005D1BB8">
        <w:t xml:space="preserve"> </w:t>
      </w:r>
      <w:r w:rsidR="00383282">
        <w:t xml:space="preserve">and post-assessment </w:t>
      </w:r>
      <w:r w:rsidR="005D1BB8">
        <w:t>stages</w:t>
      </w:r>
      <w:r w:rsidR="00926CA7">
        <w:t xml:space="preserve">. </w:t>
      </w:r>
      <w:r w:rsidR="009A7F0B">
        <w:t xml:space="preserve">Remote </w:t>
      </w:r>
      <w:r w:rsidR="00DC0170">
        <w:t>assessments should</w:t>
      </w:r>
      <w:r w:rsidR="00BC4487">
        <w:t xml:space="preserve"> be </w:t>
      </w:r>
      <w:r w:rsidR="009A7F0B">
        <w:t xml:space="preserve">part of a wider remote </w:t>
      </w:r>
      <w:r w:rsidR="00553E18">
        <w:t xml:space="preserve">engagement and agenda setting process, which harnesses technology to enable community participation </w:t>
      </w:r>
      <w:r w:rsidR="0040350B">
        <w:t xml:space="preserve">in social accountability in education. </w:t>
      </w:r>
    </w:p>
    <w:p w14:paraId="1DCDC1A5" w14:textId="599BD77A" w:rsidR="002B2701" w:rsidRDefault="009A4452" w:rsidP="004F3140">
      <w:pPr>
        <w:pStyle w:val="Heading3"/>
      </w:pPr>
      <w:r>
        <w:t>Bibliography</w:t>
      </w:r>
    </w:p>
    <w:p w14:paraId="2B96541F" w14:textId="5363DB6A" w:rsidR="00F67184" w:rsidRPr="00F67184" w:rsidRDefault="004017D8" w:rsidP="00F67184">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F67184" w:rsidRPr="00F67184">
        <w:rPr>
          <w:rFonts w:ascii="Calibri" w:hAnsi="Calibri" w:cs="Calibri"/>
          <w:noProof/>
          <w:szCs w:val="24"/>
        </w:rPr>
        <w:t xml:space="preserve">ACER Centre for Global Education Monitoring. (2015). </w:t>
      </w:r>
      <w:r w:rsidR="00F67184" w:rsidRPr="00F67184">
        <w:rPr>
          <w:rFonts w:ascii="Calibri" w:hAnsi="Calibri" w:cs="Calibri"/>
          <w:i/>
          <w:iCs/>
          <w:noProof/>
          <w:szCs w:val="24"/>
        </w:rPr>
        <w:t>REPORT ON THE CONCURRENT VALIDITY AND INTER-RATER RELIABILITY STUDIES OF UWEZO</w:t>
      </w:r>
      <w:r w:rsidR="00F67184" w:rsidRPr="00F67184">
        <w:rPr>
          <w:rFonts w:ascii="Calibri" w:hAnsi="Calibri" w:cs="Calibri"/>
          <w:noProof/>
          <w:szCs w:val="24"/>
        </w:rPr>
        <w:t xml:space="preserve"> (Issue June).</w:t>
      </w:r>
    </w:p>
    <w:p w14:paraId="4126043A"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Angrist, N., Bergman, P., Brewster, C., &amp; Matsheng, M. (2020). Stemming Learning Loss During the Pandemic: A Rapid Randomized Trial of a Low-Tech Intervention in Botswana. </w:t>
      </w:r>
      <w:r w:rsidRPr="00F67184">
        <w:rPr>
          <w:rFonts w:ascii="Calibri" w:hAnsi="Calibri" w:cs="Calibri"/>
          <w:i/>
          <w:iCs/>
          <w:noProof/>
          <w:szCs w:val="24"/>
        </w:rPr>
        <w:t>SSRN Electronic Journal</w:t>
      </w:r>
      <w:r w:rsidRPr="00F67184">
        <w:rPr>
          <w:rFonts w:ascii="Calibri" w:hAnsi="Calibri" w:cs="Calibri"/>
          <w:noProof/>
          <w:szCs w:val="24"/>
        </w:rPr>
        <w:t xml:space="preserve">, </w:t>
      </w:r>
      <w:r w:rsidRPr="00F67184">
        <w:rPr>
          <w:rFonts w:ascii="Calibri" w:hAnsi="Calibri" w:cs="Calibri"/>
          <w:i/>
          <w:iCs/>
          <w:noProof/>
          <w:szCs w:val="24"/>
        </w:rPr>
        <w:t>44</w:t>
      </w:r>
      <w:r w:rsidRPr="00F67184">
        <w:rPr>
          <w:rFonts w:ascii="Calibri" w:hAnsi="Calibri" w:cs="Calibri"/>
          <w:noProof/>
          <w:szCs w:val="24"/>
        </w:rPr>
        <w:t>(August). https://doi.org/10.2139/ssrn.3663098</w:t>
      </w:r>
    </w:p>
    <w:p w14:paraId="6A7CEC2D"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Angrist, N., Bergman, P., Evans, D. K., Hares, S., Jukes, M. C. H., &amp; Letsomo, T. (2020). Practical lessons for phone-based assessments of learning. </w:t>
      </w:r>
      <w:r w:rsidRPr="00F67184">
        <w:rPr>
          <w:rFonts w:ascii="Calibri" w:hAnsi="Calibri" w:cs="Calibri"/>
          <w:i/>
          <w:iCs/>
          <w:noProof/>
          <w:szCs w:val="24"/>
        </w:rPr>
        <w:t>BMJ Global Health</w:t>
      </w:r>
      <w:r w:rsidRPr="00F67184">
        <w:rPr>
          <w:rFonts w:ascii="Calibri" w:hAnsi="Calibri" w:cs="Calibri"/>
          <w:noProof/>
          <w:szCs w:val="24"/>
        </w:rPr>
        <w:t xml:space="preserve">, </w:t>
      </w:r>
      <w:r w:rsidRPr="00F67184">
        <w:rPr>
          <w:rFonts w:ascii="Calibri" w:hAnsi="Calibri" w:cs="Calibri"/>
          <w:i/>
          <w:iCs/>
          <w:noProof/>
          <w:szCs w:val="24"/>
        </w:rPr>
        <w:t>5</w:t>
      </w:r>
      <w:r w:rsidRPr="00F67184">
        <w:rPr>
          <w:rFonts w:ascii="Calibri" w:hAnsi="Calibri" w:cs="Calibri"/>
          <w:noProof/>
          <w:szCs w:val="24"/>
        </w:rPr>
        <w:t>(7). https://doi.org/10.1136/bmjgh-2020-003030</w:t>
      </w:r>
    </w:p>
    <w:p w14:paraId="557D62A6"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Bhattacharjea, S., Saeed, S., Timalsina, R., &amp; Ahamed, S. (2021). </w:t>
      </w:r>
      <w:r w:rsidRPr="00F67184">
        <w:rPr>
          <w:rFonts w:ascii="Calibri" w:hAnsi="Calibri" w:cs="Calibri"/>
          <w:i/>
          <w:iCs/>
          <w:noProof/>
          <w:szCs w:val="24"/>
        </w:rPr>
        <w:t>Citizen-led Assessments : A Model for Evidence-based Advocacy and Action to Improve Learning</w:t>
      </w:r>
      <w:r w:rsidRPr="00F67184">
        <w:rPr>
          <w:rFonts w:ascii="Calibri" w:hAnsi="Calibri" w:cs="Calibri"/>
          <w:noProof/>
          <w:szCs w:val="24"/>
        </w:rPr>
        <w:t xml:space="preserve"> (Using Assessment Data in Education Policy and Practice: Examples from the Asia-Pacific, Issue 4).</w:t>
      </w:r>
    </w:p>
    <w:p w14:paraId="463E4E26"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Bong, M., &amp; Skaalvik, E. M. (2003). Academic Self-Concept and Self-Efficacy: How Different are they really? </w:t>
      </w:r>
      <w:r w:rsidRPr="00F67184">
        <w:rPr>
          <w:rFonts w:ascii="Calibri" w:hAnsi="Calibri" w:cs="Calibri"/>
          <w:i/>
          <w:iCs/>
          <w:noProof/>
          <w:szCs w:val="24"/>
        </w:rPr>
        <w:t>Educational Psychology Review</w:t>
      </w:r>
      <w:r w:rsidRPr="00F67184">
        <w:rPr>
          <w:rFonts w:ascii="Calibri" w:hAnsi="Calibri" w:cs="Calibri"/>
          <w:noProof/>
          <w:szCs w:val="24"/>
        </w:rPr>
        <w:t xml:space="preserve">, </w:t>
      </w:r>
      <w:r w:rsidRPr="00F67184">
        <w:rPr>
          <w:rFonts w:ascii="Calibri" w:hAnsi="Calibri" w:cs="Calibri"/>
          <w:i/>
          <w:iCs/>
          <w:noProof/>
          <w:szCs w:val="24"/>
        </w:rPr>
        <w:t>15</w:t>
      </w:r>
      <w:r w:rsidRPr="00F67184">
        <w:rPr>
          <w:rFonts w:ascii="Calibri" w:hAnsi="Calibri" w:cs="Calibri"/>
          <w:noProof/>
          <w:szCs w:val="24"/>
        </w:rPr>
        <w:t>(1), 1–40.</w:t>
      </w:r>
    </w:p>
    <w:p w14:paraId="5F48EB75"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Crawfurd, L., Evans, D. K., &amp; Hares, S. (2021). Teaching and Testing by Phone in a Pandemic. In </w:t>
      </w:r>
      <w:r w:rsidRPr="00F67184">
        <w:rPr>
          <w:rFonts w:ascii="Calibri" w:hAnsi="Calibri" w:cs="Calibri"/>
          <w:i/>
          <w:iCs/>
          <w:noProof/>
          <w:szCs w:val="24"/>
        </w:rPr>
        <w:t>Pandemic Working paper</w:t>
      </w:r>
      <w:r w:rsidRPr="00F67184">
        <w:rPr>
          <w:rFonts w:ascii="Calibri" w:hAnsi="Calibri" w:cs="Calibri"/>
          <w:noProof/>
          <w:szCs w:val="24"/>
        </w:rPr>
        <w:t xml:space="preserve"> (Issue 591).</w:t>
      </w:r>
    </w:p>
    <w:p w14:paraId="0B7DD7AD"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Hidi, S., &amp; Ann Renninger, K. (2006). The four-phase model of interest development. </w:t>
      </w:r>
      <w:r w:rsidRPr="00F67184">
        <w:rPr>
          <w:rFonts w:ascii="Calibri" w:hAnsi="Calibri" w:cs="Calibri"/>
          <w:i/>
          <w:iCs/>
          <w:noProof/>
          <w:szCs w:val="24"/>
        </w:rPr>
        <w:t>Educational Psychologist</w:t>
      </w:r>
      <w:r w:rsidRPr="00F67184">
        <w:rPr>
          <w:rFonts w:ascii="Calibri" w:hAnsi="Calibri" w:cs="Calibri"/>
          <w:noProof/>
          <w:szCs w:val="24"/>
        </w:rPr>
        <w:t xml:space="preserve">, </w:t>
      </w:r>
      <w:r w:rsidRPr="00F67184">
        <w:rPr>
          <w:rFonts w:ascii="Calibri" w:hAnsi="Calibri" w:cs="Calibri"/>
          <w:i/>
          <w:iCs/>
          <w:noProof/>
          <w:szCs w:val="24"/>
        </w:rPr>
        <w:t>41</w:t>
      </w:r>
      <w:r w:rsidRPr="00F67184">
        <w:rPr>
          <w:rFonts w:ascii="Calibri" w:hAnsi="Calibri" w:cs="Calibri"/>
          <w:noProof/>
          <w:szCs w:val="24"/>
        </w:rPr>
        <w:t>(2), 111–127. https://doi.org/10.1207/s15326985ep4102_4</w:t>
      </w:r>
    </w:p>
    <w:p w14:paraId="75C7B819"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Results for Development Institute. (2015). </w:t>
      </w:r>
      <w:r w:rsidRPr="00F67184">
        <w:rPr>
          <w:rFonts w:ascii="Calibri" w:hAnsi="Calibri" w:cs="Calibri"/>
          <w:i/>
          <w:iCs/>
          <w:noProof/>
          <w:szCs w:val="24"/>
        </w:rPr>
        <w:t>Bringing Learning to Light: The Role of Citizen-led Assessments in Shifting the Education Agenda</w:t>
      </w:r>
      <w:r w:rsidRPr="00F67184">
        <w:rPr>
          <w:rFonts w:ascii="Calibri" w:hAnsi="Calibri" w:cs="Calibri"/>
          <w:noProof/>
          <w:szCs w:val="24"/>
        </w:rPr>
        <w:t xml:space="preserve"> (Issue June). https://hewlett.org/wp-content/uploads/2016/08/R4D - Bringing Learning to Light - June 2015.pdf</w:t>
      </w:r>
    </w:p>
    <w:p w14:paraId="09EE9664"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Schueler, B. E., &amp; Rodriguez-Segura, D. (2021). A Cautionary Tale of Tutoring Hard-to-Reach Students in Kenya. In </w:t>
      </w:r>
      <w:r w:rsidRPr="00F67184">
        <w:rPr>
          <w:rFonts w:ascii="Calibri" w:hAnsi="Calibri" w:cs="Calibri"/>
          <w:i/>
          <w:iCs/>
          <w:noProof/>
          <w:szCs w:val="24"/>
        </w:rPr>
        <w:t>EdWorkingPaper No. 21-432</w:t>
      </w:r>
      <w:r w:rsidRPr="00F67184">
        <w:rPr>
          <w:rFonts w:ascii="Calibri" w:hAnsi="Calibri" w:cs="Calibri"/>
          <w:noProof/>
          <w:szCs w:val="24"/>
        </w:rPr>
        <w:t xml:space="preserve"> (Issue 21).</w:t>
      </w:r>
    </w:p>
    <w:p w14:paraId="210C1ED2"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Sternberg, R. J. (2007). Culture, instruction, and assessment. </w:t>
      </w:r>
      <w:r w:rsidRPr="00F67184">
        <w:rPr>
          <w:rFonts w:ascii="Calibri" w:hAnsi="Calibri" w:cs="Calibri"/>
          <w:i/>
          <w:iCs/>
          <w:noProof/>
          <w:szCs w:val="24"/>
        </w:rPr>
        <w:t>Comparative Education</w:t>
      </w:r>
      <w:r w:rsidRPr="00F67184">
        <w:rPr>
          <w:rFonts w:ascii="Calibri" w:hAnsi="Calibri" w:cs="Calibri"/>
          <w:noProof/>
          <w:szCs w:val="24"/>
        </w:rPr>
        <w:t xml:space="preserve">, </w:t>
      </w:r>
      <w:r w:rsidRPr="00F67184">
        <w:rPr>
          <w:rFonts w:ascii="Calibri" w:hAnsi="Calibri" w:cs="Calibri"/>
          <w:i/>
          <w:iCs/>
          <w:noProof/>
          <w:szCs w:val="24"/>
        </w:rPr>
        <w:t>43</w:t>
      </w:r>
      <w:r w:rsidRPr="00F67184">
        <w:rPr>
          <w:rFonts w:ascii="Calibri" w:hAnsi="Calibri" w:cs="Calibri"/>
          <w:noProof/>
          <w:szCs w:val="24"/>
        </w:rPr>
        <w:t>(1), 5–22. https://doi.org/10.1080/03050060601162370</w:t>
      </w:r>
    </w:p>
    <w:p w14:paraId="6907235F"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szCs w:val="24"/>
        </w:rPr>
      </w:pPr>
      <w:r w:rsidRPr="00F67184">
        <w:rPr>
          <w:rFonts w:ascii="Calibri" w:hAnsi="Calibri" w:cs="Calibri"/>
          <w:noProof/>
          <w:szCs w:val="24"/>
        </w:rPr>
        <w:t xml:space="preserve">Sweller, J., Merrienboer, J. J. G. Van, &amp; Paas, F. (1998). Cogntive Architecture and Instructional Design. </w:t>
      </w:r>
      <w:r w:rsidRPr="00F67184">
        <w:rPr>
          <w:rFonts w:ascii="Calibri" w:hAnsi="Calibri" w:cs="Calibri"/>
          <w:i/>
          <w:iCs/>
          <w:noProof/>
          <w:szCs w:val="24"/>
        </w:rPr>
        <w:t>Educational Psychology Review</w:t>
      </w:r>
      <w:r w:rsidRPr="00F67184">
        <w:rPr>
          <w:rFonts w:ascii="Calibri" w:hAnsi="Calibri" w:cs="Calibri"/>
          <w:noProof/>
          <w:szCs w:val="24"/>
        </w:rPr>
        <w:t xml:space="preserve">, </w:t>
      </w:r>
      <w:r w:rsidRPr="00F67184">
        <w:rPr>
          <w:rFonts w:ascii="Calibri" w:hAnsi="Calibri" w:cs="Calibri"/>
          <w:i/>
          <w:iCs/>
          <w:noProof/>
          <w:szCs w:val="24"/>
        </w:rPr>
        <w:t>10</w:t>
      </w:r>
      <w:r w:rsidRPr="00F67184">
        <w:rPr>
          <w:rFonts w:ascii="Calibri" w:hAnsi="Calibri" w:cs="Calibri"/>
          <w:noProof/>
          <w:szCs w:val="24"/>
        </w:rPr>
        <w:t>(3). https://doi.org/10.1023/A</w:t>
      </w:r>
    </w:p>
    <w:p w14:paraId="51E4DF7C" w14:textId="77777777" w:rsidR="00F67184" w:rsidRPr="00F67184" w:rsidRDefault="00F67184" w:rsidP="00F67184">
      <w:pPr>
        <w:widowControl w:val="0"/>
        <w:autoSpaceDE w:val="0"/>
        <w:autoSpaceDN w:val="0"/>
        <w:adjustRightInd w:val="0"/>
        <w:spacing w:line="240" w:lineRule="auto"/>
        <w:ind w:left="480" w:hanging="480"/>
        <w:rPr>
          <w:rFonts w:ascii="Calibri" w:hAnsi="Calibri" w:cs="Calibri"/>
          <w:noProof/>
        </w:rPr>
      </w:pPr>
      <w:r w:rsidRPr="00F67184">
        <w:rPr>
          <w:rFonts w:ascii="Calibri" w:hAnsi="Calibri" w:cs="Calibri"/>
          <w:noProof/>
          <w:szCs w:val="24"/>
        </w:rPr>
        <w:t xml:space="preserve">UNESCO Institute of Statistics. (2016). </w:t>
      </w:r>
      <w:r w:rsidRPr="00F67184">
        <w:rPr>
          <w:rFonts w:ascii="Calibri" w:hAnsi="Calibri" w:cs="Calibri"/>
          <w:i/>
          <w:iCs/>
          <w:noProof/>
          <w:szCs w:val="24"/>
        </w:rPr>
        <w:t>Understanding What Works in Oral Reading Assessments</w:t>
      </w:r>
      <w:r w:rsidRPr="00F67184">
        <w:rPr>
          <w:rFonts w:ascii="Calibri" w:hAnsi="Calibri" w:cs="Calibri"/>
          <w:noProof/>
          <w:szCs w:val="24"/>
        </w:rPr>
        <w:t>. https://doi.org/10.15220/978-92-9189-196-2-en</w:t>
      </w:r>
    </w:p>
    <w:p w14:paraId="66026A02" w14:textId="7B5D62E2" w:rsidR="003806C2" w:rsidRDefault="004017D8" w:rsidP="003806C2">
      <w:r>
        <w:fldChar w:fldCharType="end"/>
      </w:r>
    </w:p>
    <w:p w14:paraId="07595816" w14:textId="77777777" w:rsidR="003806C2" w:rsidRDefault="003806C2" w:rsidP="003806C2"/>
    <w:sectPr w:rsidR="003806C2" w:rsidSect="007721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1630"/>
    <w:multiLevelType w:val="hybridMultilevel"/>
    <w:tmpl w:val="655876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98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13"/>
    <w:rsid w:val="00001C6F"/>
    <w:rsid w:val="0000371A"/>
    <w:rsid w:val="00013D19"/>
    <w:rsid w:val="00015F11"/>
    <w:rsid w:val="00017768"/>
    <w:rsid w:val="00017AC2"/>
    <w:rsid w:val="00022E84"/>
    <w:rsid w:val="00025924"/>
    <w:rsid w:val="000266CD"/>
    <w:rsid w:val="00030166"/>
    <w:rsid w:val="000312A0"/>
    <w:rsid w:val="00033230"/>
    <w:rsid w:val="00033E2A"/>
    <w:rsid w:val="000357AD"/>
    <w:rsid w:val="000367A4"/>
    <w:rsid w:val="00036EBC"/>
    <w:rsid w:val="000467AF"/>
    <w:rsid w:val="0004748F"/>
    <w:rsid w:val="000503C8"/>
    <w:rsid w:val="00053FED"/>
    <w:rsid w:val="00055491"/>
    <w:rsid w:val="00070AF9"/>
    <w:rsid w:val="000732DD"/>
    <w:rsid w:val="000743F7"/>
    <w:rsid w:val="0007781F"/>
    <w:rsid w:val="00080964"/>
    <w:rsid w:val="00091BEA"/>
    <w:rsid w:val="000A4917"/>
    <w:rsid w:val="000A6108"/>
    <w:rsid w:val="000B0469"/>
    <w:rsid w:val="000B560E"/>
    <w:rsid w:val="000C121E"/>
    <w:rsid w:val="000D0B29"/>
    <w:rsid w:val="000D52B2"/>
    <w:rsid w:val="000E3384"/>
    <w:rsid w:val="000E375A"/>
    <w:rsid w:val="000E4BE3"/>
    <w:rsid w:val="000F50D1"/>
    <w:rsid w:val="000F65D7"/>
    <w:rsid w:val="001026E3"/>
    <w:rsid w:val="00107E43"/>
    <w:rsid w:val="0011095E"/>
    <w:rsid w:val="00112A3A"/>
    <w:rsid w:val="001200F7"/>
    <w:rsid w:val="0013147C"/>
    <w:rsid w:val="00131D83"/>
    <w:rsid w:val="00136B72"/>
    <w:rsid w:val="001428AD"/>
    <w:rsid w:val="00142EA2"/>
    <w:rsid w:val="0014350C"/>
    <w:rsid w:val="00143897"/>
    <w:rsid w:val="00152900"/>
    <w:rsid w:val="00153DF5"/>
    <w:rsid w:val="00157627"/>
    <w:rsid w:val="00165F65"/>
    <w:rsid w:val="001722F0"/>
    <w:rsid w:val="00173EB6"/>
    <w:rsid w:val="00175AE8"/>
    <w:rsid w:val="00182685"/>
    <w:rsid w:val="0018286E"/>
    <w:rsid w:val="0018385B"/>
    <w:rsid w:val="001852D4"/>
    <w:rsid w:val="00185541"/>
    <w:rsid w:val="00190CA3"/>
    <w:rsid w:val="00194844"/>
    <w:rsid w:val="00194E7A"/>
    <w:rsid w:val="0019644F"/>
    <w:rsid w:val="0019675B"/>
    <w:rsid w:val="001A2080"/>
    <w:rsid w:val="001A5618"/>
    <w:rsid w:val="001A7EAF"/>
    <w:rsid w:val="001B24B6"/>
    <w:rsid w:val="001B3680"/>
    <w:rsid w:val="001B60F5"/>
    <w:rsid w:val="001C0830"/>
    <w:rsid w:val="001C387E"/>
    <w:rsid w:val="001C5914"/>
    <w:rsid w:val="001D1E17"/>
    <w:rsid w:val="001D38F6"/>
    <w:rsid w:val="001D4E80"/>
    <w:rsid w:val="001E48F6"/>
    <w:rsid w:val="001E51E2"/>
    <w:rsid w:val="001E6208"/>
    <w:rsid w:val="001F06F8"/>
    <w:rsid w:val="001F0787"/>
    <w:rsid w:val="001F16EC"/>
    <w:rsid w:val="002003B5"/>
    <w:rsid w:val="002007A8"/>
    <w:rsid w:val="00200841"/>
    <w:rsid w:val="0020172F"/>
    <w:rsid w:val="00206258"/>
    <w:rsid w:val="00207B43"/>
    <w:rsid w:val="00210D03"/>
    <w:rsid w:val="002118DF"/>
    <w:rsid w:val="002134A0"/>
    <w:rsid w:val="002210CA"/>
    <w:rsid w:val="00221FE4"/>
    <w:rsid w:val="002236EA"/>
    <w:rsid w:val="00225155"/>
    <w:rsid w:val="00234AD2"/>
    <w:rsid w:val="00240878"/>
    <w:rsid w:val="00240B6D"/>
    <w:rsid w:val="00241E50"/>
    <w:rsid w:val="00244F30"/>
    <w:rsid w:val="002474FC"/>
    <w:rsid w:val="002614B5"/>
    <w:rsid w:val="00262017"/>
    <w:rsid w:val="00263BEB"/>
    <w:rsid w:val="00272529"/>
    <w:rsid w:val="00273EC1"/>
    <w:rsid w:val="00275743"/>
    <w:rsid w:val="002802F8"/>
    <w:rsid w:val="00281879"/>
    <w:rsid w:val="00283B4A"/>
    <w:rsid w:val="0028405C"/>
    <w:rsid w:val="002848FA"/>
    <w:rsid w:val="00284E2B"/>
    <w:rsid w:val="00285026"/>
    <w:rsid w:val="00287A68"/>
    <w:rsid w:val="00287D77"/>
    <w:rsid w:val="0029016B"/>
    <w:rsid w:val="00290398"/>
    <w:rsid w:val="0029144E"/>
    <w:rsid w:val="002A123E"/>
    <w:rsid w:val="002A3445"/>
    <w:rsid w:val="002B0FE7"/>
    <w:rsid w:val="002B2701"/>
    <w:rsid w:val="002B73F0"/>
    <w:rsid w:val="002B779A"/>
    <w:rsid w:val="002B7A2B"/>
    <w:rsid w:val="002C74B3"/>
    <w:rsid w:val="002D763E"/>
    <w:rsid w:val="002E472B"/>
    <w:rsid w:val="002E478E"/>
    <w:rsid w:val="002E6ED9"/>
    <w:rsid w:val="002F0A90"/>
    <w:rsid w:val="002F29A4"/>
    <w:rsid w:val="002F5E3C"/>
    <w:rsid w:val="00300757"/>
    <w:rsid w:val="00304E6D"/>
    <w:rsid w:val="00307ADA"/>
    <w:rsid w:val="0031172A"/>
    <w:rsid w:val="00315BB4"/>
    <w:rsid w:val="00322C00"/>
    <w:rsid w:val="003310B2"/>
    <w:rsid w:val="003337AE"/>
    <w:rsid w:val="00334692"/>
    <w:rsid w:val="00346068"/>
    <w:rsid w:val="00352594"/>
    <w:rsid w:val="0035579D"/>
    <w:rsid w:val="00356B96"/>
    <w:rsid w:val="00364AB7"/>
    <w:rsid w:val="00364C50"/>
    <w:rsid w:val="0036797C"/>
    <w:rsid w:val="00373022"/>
    <w:rsid w:val="00375164"/>
    <w:rsid w:val="003762D4"/>
    <w:rsid w:val="003806C2"/>
    <w:rsid w:val="003810B1"/>
    <w:rsid w:val="00381A5E"/>
    <w:rsid w:val="003828A6"/>
    <w:rsid w:val="00383282"/>
    <w:rsid w:val="003832E7"/>
    <w:rsid w:val="00387B85"/>
    <w:rsid w:val="00392C07"/>
    <w:rsid w:val="00395EBD"/>
    <w:rsid w:val="003A3720"/>
    <w:rsid w:val="003A4A8C"/>
    <w:rsid w:val="003A67BD"/>
    <w:rsid w:val="003B0B67"/>
    <w:rsid w:val="003B707E"/>
    <w:rsid w:val="003C61DB"/>
    <w:rsid w:val="003C7725"/>
    <w:rsid w:val="003E004A"/>
    <w:rsid w:val="003E2A7A"/>
    <w:rsid w:val="003E3907"/>
    <w:rsid w:val="003E41E8"/>
    <w:rsid w:val="003F41BB"/>
    <w:rsid w:val="0040018E"/>
    <w:rsid w:val="004001D3"/>
    <w:rsid w:val="004017D8"/>
    <w:rsid w:val="0040350B"/>
    <w:rsid w:val="004140B3"/>
    <w:rsid w:val="00424F5B"/>
    <w:rsid w:val="0043066C"/>
    <w:rsid w:val="00431A0A"/>
    <w:rsid w:val="0043441A"/>
    <w:rsid w:val="004346AB"/>
    <w:rsid w:val="00436FC1"/>
    <w:rsid w:val="0043741B"/>
    <w:rsid w:val="00437925"/>
    <w:rsid w:val="00437DEE"/>
    <w:rsid w:val="00445369"/>
    <w:rsid w:val="00447650"/>
    <w:rsid w:val="00451894"/>
    <w:rsid w:val="00453AF7"/>
    <w:rsid w:val="004557E2"/>
    <w:rsid w:val="004568CF"/>
    <w:rsid w:val="00456A32"/>
    <w:rsid w:val="00456D3E"/>
    <w:rsid w:val="00463A3F"/>
    <w:rsid w:val="00463F70"/>
    <w:rsid w:val="00464831"/>
    <w:rsid w:val="004650B5"/>
    <w:rsid w:val="004737D3"/>
    <w:rsid w:val="004744DF"/>
    <w:rsid w:val="004749CE"/>
    <w:rsid w:val="00491CBC"/>
    <w:rsid w:val="004A3835"/>
    <w:rsid w:val="004B1095"/>
    <w:rsid w:val="004B153B"/>
    <w:rsid w:val="004B1D4C"/>
    <w:rsid w:val="004B792C"/>
    <w:rsid w:val="004C0DF7"/>
    <w:rsid w:val="004D249D"/>
    <w:rsid w:val="004D3D1E"/>
    <w:rsid w:val="004D4D3A"/>
    <w:rsid w:val="004E2C31"/>
    <w:rsid w:val="004E2E00"/>
    <w:rsid w:val="004E50C2"/>
    <w:rsid w:val="004E757D"/>
    <w:rsid w:val="004F3140"/>
    <w:rsid w:val="004F57BB"/>
    <w:rsid w:val="005005C0"/>
    <w:rsid w:val="00505985"/>
    <w:rsid w:val="005140D9"/>
    <w:rsid w:val="00516811"/>
    <w:rsid w:val="0052009C"/>
    <w:rsid w:val="00520D68"/>
    <w:rsid w:val="0052297F"/>
    <w:rsid w:val="00527704"/>
    <w:rsid w:val="00534AAA"/>
    <w:rsid w:val="005448F6"/>
    <w:rsid w:val="00553A70"/>
    <w:rsid w:val="00553E18"/>
    <w:rsid w:val="00557A9F"/>
    <w:rsid w:val="005624F2"/>
    <w:rsid w:val="005713E1"/>
    <w:rsid w:val="005757D7"/>
    <w:rsid w:val="005809FF"/>
    <w:rsid w:val="00580FD4"/>
    <w:rsid w:val="0058282C"/>
    <w:rsid w:val="00584BDE"/>
    <w:rsid w:val="00587EB4"/>
    <w:rsid w:val="00591744"/>
    <w:rsid w:val="00593025"/>
    <w:rsid w:val="00593E1E"/>
    <w:rsid w:val="00595920"/>
    <w:rsid w:val="00596C90"/>
    <w:rsid w:val="005A6FB4"/>
    <w:rsid w:val="005B4123"/>
    <w:rsid w:val="005B4B40"/>
    <w:rsid w:val="005C0C9D"/>
    <w:rsid w:val="005C7380"/>
    <w:rsid w:val="005C73B8"/>
    <w:rsid w:val="005D1BB8"/>
    <w:rsid w:val="005D2B31"/>
    <w:rsid w:val="005D3860"/>
    <w:rsid w:val="005D4041"/>
    <w:rsid w:val="005D427A"/>
    <w:rsid w:val="005D43A5"/>
    <w:rsid w:val="005E0DE4"/>
    <w:rsid w:val="005E3AE6"/>
    <w:rsid w:val="005E4D09"/>
    <w:rsid w:val="005E62AC"/>
    <w:rsid w:val="005E7100"/>
    <w:rsid w:val="005F16BE"/>
    <w:rsid w:val="005F488C"/>
    <w:rsid w:val="005F7991"/>
    <w:rsid w:val="00602461"/>
    <w:rsid w:val="0060572E"/>
    <w:rsid w:val="00610267"/>
    <w:rsid w:val="00611405"/>
    <w:rsid w:val="00612710"/>
    <w:rsid w:val="00612C98"/>
    <w:rsid w:val="00616175"/>
    <w:rsid w:val="0061688D"/>
    <w:rsid w:val="00632E77"/>
    <w:rsid w:val="006331EB"/>
    <w:rsid w:val="00634E03"/>
    <w:rsid w:val="006409C3"/>
    <w:rsid w:val="006429A1"/>
    <w:rsid w:val="00643581"/>
    <w:rsid w:val="00644CC6"/>
    <w:rsid w:val="00646421"/>
    <w:rsid w:val="006503FE"/>
    <w:rsid w:val="00650657"/>
    <w:rsid w:val="00651E65"/>
    <w:rsid w:val="00652F92"/>
    <w:rsid w:val="00654A65"/>
    <w:rsid w:val="006664A5"/>
    <w:rsid w:val="006722EE"/>
    <w:rsid w:val="00672C81"/>
    <w:rsid w:val="0068110D"/>
    <w:rsid w:val="00690A76"/>
    <w:rsid w:val="00691AFC"/>
    <w:rsid w:val="006949DE"/>
    <w:rsid w:val="00695798"/>
    <w:rsid w:val="0069759A"/>
    <w:rsid w:val="006A036A"/>
    <w:rsid w:val="006A3924"/>
    <w:rsid w:val="006A5DD1"/>
    <w:rsid w:val="006A65E5"/>
    <w:rsid w:val="006B0F5A"/>
    <w:rsid w:val="006B1FB9"/>
    <w:rsid w:val="006B3C59"/>
    <w:rsid w:val="006B3CFD"/>
    <w:rsid w:val="006C08E9"/>
    <w:rsid w:val="006C0AFC"/>
    <w:rsid w:val="006C2D04"/>
    <w:rsid w:val="006D7405"/>
    <w:rsid w:val="006E6491"/>
    <w:rsid w:val="006E7DE7"/>
    <w:rsid w:val="006F009B"/>
    <w:rsid w:val="006F3B05"/>
    <w:rsid w:val="006F7A48"/>
    <w:rsid w:val="00700F03"/>
    <w:rsid w:val="00702ED8"/>
    <w:rsid w:val="00704D9B"/>
    <w:rsid w:val="00716E87"/>
    <w:rsid w:val="00717605"/>
    <w:rsid w:val="007203C7"/>
    <w:rsid w:val="00722ABA"/>
    <w:rsid w:val="00731877"/>
    <w:rsid w:val="0073243A"/>
    <w:rsid w:val="007365F1"/>
    <w:rsid w:val="007434E7"/>
    <w:rsid w:val="0074558C"/>
    <w:rsid w:val="00746F34"/>
    <w:rsid w:val="00752E4F"/>
    <w:rsid w:val="00757833"/>
    <w:rsid w:val="00761B1F"/>
    <w:rsid w:val="007622D6"/>
    <w:rsid w:val="0076514D"/>
    <w:rsid w:val="00770599"/>
    <w:rsid w:val="007721B0"/>
    <w:rsid w:val="00777EBA"/>
    <w:rsid w:val="00782737"/>
    <w:rsid w:val="00790988"/>
    <w:rsid w:val="00790DD2"/>
    <w:rsid w:val="00792E25"/>
    <w:rsid w:val="00793690"/>
    <w:rsid w:val="00795B35"/>
    <w:rsid w:val="007A11DE"/>
    <w:rsid w:val="007A2EB3"/>
    <w:rsid w:val="007A3E35"/>
    <w:rsid w:val="007B165C"/>
    <w:rsid w:val="007B34CD"/>
    <w:rsid w:val="007C20A9"/>
    <w:rsid w:val="007C324D"/>
    <w:rsid w:val="007C6731"/>
    <w:rsid w:val="007D480C"/>
    <w:rsid w:val="007E1630"/>
    <w:rsid w:val="007E784B"/>
    <w:rsid w:val="007F0D0F"/>
    <w:rsid w:val="007F4A68"/>
    <w:rsid w:val="007F645F"/>
    <w:rsid w:val="007F6EF7"/>
    <w:rsid w:val="007F720F"/>
    <w:rsid w:val="008005E9"/>
    <w:rsid w:val="008038F7"/>
    <w:rsid w:val="00805B3D"/>
    <w:rsid w:val="00807436"/>
    <w:rsid w:val="00810A2D"/>
    <w:rsid w:val="00820743"/>
    <w:rsid w:val="008229AD"/>
    <w:rsid w:val="00826B1B"/>
    <w:rsid w:val="00834CAE"/>
    <w:rsid w:val="00836BD6"/>
    <w:rsid w:val="00837839"/>
    <w:rsid w:val="0084258C"/>
    <w:rsid w:val="008559BB"/>
    <w:rsid w:val="00856DC9"/>
    <w:rsid w:val="00860766"/>
    <w:rsid w:val="00863715"/>
    <w:rsid w:val="008657CD"/>
    <w:rsid w:val="008720DF"/>
    <w:rsid w:val="008732AA"/>
    <w:rsid w:val="00875351"/>
    <w:rsid w:val="00876F6E"/>
    <w:rsid w:val="00882BB9"/>
    <w:rsid w:val="008856BB"/>
    <w:rsid w:val="00887662"/>
    <w:rsid w:val="00895B73"/>
    <w:rsid w:val="0089604A"/>
    <w:rsid w:val="008A0F7E"/>
    <w:rsid w:val="008A60A6"/>
    <w:rsid w:val="008B15FB"/>
    <w:rsid w:val="008B6FC2"/>
    <w:rsid w:val="008C28CA"/>
    <w:rsid w:val="008C6B0C"/>
    <w:rsid w:val="008D2A79"/>
    <w:rsid w:val="008D636F"/>
    <w:rsid w:val="008E101A"/>
    <w:rsid w:val="008E2731"/>
    <w:rsid w:val="008E2A67"/>
    <w:rsid w:val="008E3400"/>
    <w:rsid w:val="008F251F"/>
    <w:rsid w:val="008F3FDA"/>
    <w:rsid w:val="008F5341"/>
    <w:rsid w:val="008F75F9"/>
    <w:rsid w:val="00900AFF"/>
    <w:rsid w:val="00900FEA"/>
    <w:rsid w:val="0090229D"/>
    <w:rsid w:val="00902737"/>
    <w:rsid w:val="00921770"/>
    <w:rsid w:val="00926CA7"/>
    <w:rsid w:val="00926F83"/>
    <w:rsid w:val="00930C27"/>
    <w:rsid w:val="00934DA8"/>
    <w:rsid w:val="00941DC0"/>
    <w:rsid w:val="00942B0C"/>
    <w:rsid w:val="009432B5"/>
    <w:rsid w:val="00952416"/>
    <w:rsid w:val="0095692A"/>
    <w:rsid w:val="0096325E"/>
    <w:rsid w:val="00964BF8"/>
    <w:rsid w:val="00965A48"/>
    <w:rsid w:val="00971563"/>
    <w:rsid w:val="009823D3"/>
    <w:rsid w:val="009841BF"/>
    <w:rsid w:val="00984B1C"/>
    <w:rsid w:val="0098793F"/>
    <w:rsid w:val="00987F16"/>
    <w:rsid w:val="00992DB4"/>
    <w:rsid w:val="00993CD2"/>
    <w:rsid w:val="009A0107"/>
    <w:rsid w:val="009A4452"/>
    <w:rsid w:val="009A7F0B"/>
    <w:rsid w:val="009B06CA"/>
    <w:rsid w:val="009B10C7"/>
    <w:rsid w:val="009C4ED1"/>
    <w:rsid w:val="009D0299"/>
    <w:rsid w:val="009D272B"/>
    <w:rsid w:val="009D465B"/>
    <w:rsid w:val="009D5670"/>
    <w:rsid w:val="009D6735"/>
    <w:rsid w:val="009E24C6"/>
    <w:rsid w:val="009E279B"/>
    <w:rsid w:val="009E2912"/>
    <w:rsid w:val="009F2842"/>
    <w:rsid w:val="009F4EFC"/>
    <w:rsid w:val="009F63E7"/>
    <w:rsid w:val="009F7CAD"/>
    <w:rsid w:val="00A01539"/>
    <w:rsid w:val="00A07237"/>
    <w:rsid w:val="00A07364"/>
    <w:rsid w:val="00A07CDF"/>
    <w:rsid w:val="00A12B4D"/>
    <w:rsid w:val="00A13969"/>
    <w:rsid w:val="00A13E73"/>
    <w:rsid w:val="00A140B0"/>
    <w:rsid w:val="00A16C01"/>
    <w:rsid w:val="00A2201D"/>
    <w:rsid w:val="00A3113D"/>
    <w:rsid w:val="00A321B9"/>
    <w:rsid w:val="00A37EAF"/>
    <w:rsid w:val="00A45AE9"/>
    <w:rsid w:val="00A47639"/>
    <w:rsid w:val="00A5050B"/>
    <w:rsid w:val="00A573C6"/>
    <w:rsid w:val="00A62C6A"/>
    <w:rsid w:val="00A63B4B"/>
    <w:rsid w:val="00A63D5D"/>
    <w:rsid w:val="00A6668C"/>
    <w:rsid w:val="00A7277E"/>
    <w:rsid w:val="00A72853"/>
    <w:rsid w:val="00A73A1B"/>
    <w:rsid w:val="00A73FF3"/>
    <w:rsid w:val="00A74BC4"/>
    <w:rsid w:val="00A76034"/>
    <w:rsid w:val="00A76066"/>
    <w:rsid w:val="00A76410"/>
    <w:rsid w:val="00A76898"/>
    <w:rsid w:val="00A76C41"/>
    <w:rsid w:val="00A819A3"/>
    <w:rsid w:val="00A8272C"/>
    <w:rsid w:val="00A8275A"/>
    <w:rsid w:val="00A834FE"/>
    <w:rsid w:val="00A907BD"/>
    <w:rsid w:val="00A93095"/>
    <w:rsid w:val="00A94F02"/>
    <w:rsid w:val="00A95113"/>
    <w:rsid w:val="00A95FB8"/>
    <w:rsid w:val="00A972C4"/>
    <w:rsid w:val="00A97504"/>
    <w:rsid w:val="00AA4923"/>
    <w:rsid w:val="00AA60BD"/>
    <w:rsid w:val="00AB35E5"/>
    <w:rsid w:val="00AC0E55"/>
    <w:rsid w:val="00AC1601"/>
    <w:rsid w:val="00AC516B"/>
    <w:rsid w:val="00AD5D8F"/>
    <w:rsid w:val="00AD71B4"/>
    <w:rsid w:val="00AE1BFE"/>
    <w:rsid w:val="00AE669C"/>
    <w:rsid w:val="00AE7CAC"/>
    <w:rsid w:val="00AF4D3E"/>
    <w:rsid w:val="00AF5162"/>
    <w:rsid w:val="00AF6157"/>
    <w:rsid w:val="00AF74AB"/>
    <w:rsid w:val="00B0588E"/>
    <w:rsid w:val="00B060D7"/>
    <w:rsid w:val="00B06690"/>
    <w:rsid w:val="00B1211F"/>
    <w:rsid w:val="00B142F6"/>
    <w:rsid w:val="00B143DB"/>
    <w:rsid w:val="00B14723"/>
    <w:rsid w:val="00B174A0"/>
    <w:rsid w:val="00B21919"/>
    <w:rsid w:val="00B21936"/>
    <w:rsid w:val="00B23A16"/>
    <w:rsid w:val="00B32439"/>
    <w:rsid w:val="00B32ECF"/>
    <w:rsid w:val="00B33D6E"/>
    <w:rsid w:val="00B37CE3"/>
    <w:rsid w:val="00B42193"/>
    <w:rsid w:val="00B42B6C"/>
    <w:rsid w:val="00B439D9"/>
    <w:rsid w:val="00B43B1B"/>
    <w:rsid w:val="00B4427B"/>
    <w:rsid w:val="00B4460B"/>
    <w:rsid w:val="00B446F2"/>
    <w:rsid w:val="00B450CE"/>
    <w:rsid w:val="00B455C8"/>
    <w:rsid w:val="00B46081"/>
    <w:rsid w:val="00B471C0"/>
    <w:rsid w:val="00B53A67"/>
    <w:rsid w:val="00B55EFC"/>
    <w:rsid w:val="00B62BA6"/>
    <w:rsid w:val="00B71EC5"/>
    <w:rsid w:val="00B75E75"/>
    <w:rsid w:val="00B76F12"/>
    <w:rsid w:val="00B7700E"/>
    <w:rsid w:val="00B81168"/>
    <w:rsid w:val="00B819DD"/>
    <w:rsid w:val="00B87DF5"/>
    <w:rsid w:val="00B95A39"/>
    <w:rsid w:val="00B96D4A"/>
    <w:rsid w:val="00BA0630"/>
    <w:rsid w:val="00BA5AEE"/>
    <w:rsid w:val="00BA66FB"/>
    <w:rsid w:val="00BB325C"/>
    <w:rsid w:val="00BB42D4"/>
    <w:rsid w:val="00BB43DB"/>
    <w:rsid w:val="00BC0A1E"/>
    <w:rsid w:val="00BC4314"/>
    <w:rsid w:val="00BC4487"/>
    <w:rsid w:val="00BC6FD7"/>
    <w:rsid w:val="00BC77F4"/>
    <w:rsid w:val="00BD3367"/>
    <w:rsid w:val="00BE37F8"/>
    <w:rsid w:val="00BE53BD"/>
    <w:rsid w:val="00BE5BE0"/>
    <w:rsid w:val="00BF3592"/>
    <w:rsid w:val="00BF3E9F"/>
    <w:rsid w:val="00C0192C"/>
    <w:rsid w:val="00C073B2"/>
    <w:rsid w:val="00C14BE5"/>
    <w:rsid w:val="00C26E97"/>
    <w:rsid w:val="00C27ACB"/>
    <w:rsid w:val="00C30792"/>
    <w:rsid w:val="00C319CE"/>
    <w:rsid w:val="00C32591"/>
    <w:rsid w:val="00C32A77"/>
    <w:rsid w:val="00C3332F"/>
    <w:rsid w:val="00C37E5B"/>
    <w:rsid w:val="00C423B5"/>
    <w:rsid w:val="00C43957"/>
    <w:rsid w:val="00C44452"/>
    <w:rsid w:val="00C46EA5"/>
    <w:rsid w:val="00C47580"/>
    <w:rsid w:val="00C47B38"/>
    <w:rsid w:val="00C50114"/>
    <w:rsid w:val="00C505A1"/>
    <w:rsid w:val="00C51129"/>
    <w:rsid w:val="00C51B7C"/>
    <w:rsid w:val="00C5598B"/>
    <w:rsid w:val="00C56BE2"/>
    <w:rsid w:val="00C60CCF"/>
    <w:rsid w:val="00C62128"/>
    <w:rsid w:val="00C6382D"/>
    <w:rsid w:val="00C669DA"/>
    <w:rsid w:val="00C66CCF"/>
    <w:rsid w:val="00C7167C"/>
    <w:rsid w:val="00C741BE"/>
    <w:rsid w:val="00C7610E"/>
    <w:rsid w:val="00C77E4C"/>
    <w:rsid w:val="00C81FA0"/>
    <w:rsid w:val="00C822A6"/>
    <w:rsid w:val="00C860B5"/>
    <w:rsid w:val="00C87723"/>
    <w:rsid w:val="00C91B20"/>
    <w:rsid w:val="00C933F6"/>
    <w:rsid w:val="00C9426B"/>
    <w:rsid w:val="00CA349F"/>
    <w:rsid w:val="00CB001A"/>
    <w:rsid w:val="00CB306C"/>
    <w:rsid w:val="00CC461E"/>
    <w:rsid w:val="00CC6596"/>
    <w:rsid w:val="00CC74D6"/>
    <w:rsid w:val="00CD21FB"/>
    <w:rsid w:val="00CE599C"/>
    <w:rsid w:val="00CF13E2"/>
    <w:rsid w:val="00CF2E92"/>
    <w:rsid w:val="00CF3BFE"/>
    <w:rsid w:val="00CF6A47"/>
    <w:rsid w:val="00D00797"/>
    <w:rsid w:val="00D071F4"/>
    <w:rsid w:val="00D14370"/>
    <w:rsid w:val="00D14AD7"/>
    <w:rsid w:val="00D15B16"/>
    <w:rsid w:val="00D15F3C"/>
    <w:rsid w:val="00D20AB3"/>
    <w:rsid w:val="00D2262C"/>
    <w:rsid w:val="00D24565"/>
    <w:rsid w:val="00D24E81"/>
    <w:rsid w:val="00D307CC"/>
    <w:rsid w:val="00D329D2"/>
    <w:rsid w:val="00D33120"/>
    <w:rsid w:val="00D358EE"/>
    <w:rsid w:val="00D40477"/>
    <w:rsid w:val="00D41622"/>
    <w:rsid w:val="00D55A9A"/>
    <w:rsid w:val="00D7060B"/>
    <w:rsid w:val="00D7084E"/>
    <w:rsid w:val="00D71359"/>
    <w:rsid w:val="00D77FC2"/>
    <w:rsid w:val="00D8002D"/>
    <w:rsid w:val="00D84490"/>
    <w:rsid w:val="00D9208B"/>
    <w:rsid w:val="00D943C3"/>
    <w:rsid w:val="00D94E46"/>
    <w:rsid w:val="00D95313"/>
    <w:rsid w:val="00D96325"/>
    <w:rsid w:val="00D96BD3"/>
    <w:rsid w:val="00DA3928"/>
    <w:rsid w:val="00DA3935"/>
    <w:rsid w:val="00DA3C66"/>
    <w:rsid w:val="00DA566F"/>
    <w:rsid w:val="00DA6CB4"/>
    <w:rsid w:val="00DB15F5"/>
    <w:rsid w:val="00DB1998"/>
    <w:rsid w:val="00DB48F9"/>
    <w:rsid w:val="00DB5614"/>
    <w:rsid w:val="00DC0170"/>
    <w:rsid w:val="00DC0825"/>
    <w:rsid w:val="00DC19F2"/>
    <w:rsid w:val="00DC1EED"/>
    <w:rsid w:val="00DC7F03"/>
    <w:rsid w:val="00DD31A1"/>
    <w:rsid w:val="00DD7187"/>
    <w:rsid w:val="00DE1779"/>
    <w:rsid w:val="00DE4C24"/>
    <w:rsid w:val="00DE75B6"/>
    <w:rsid w:val="00DF3BAB"/>
    <w:rsid w:val="00DF5652"/>
    <w:rsid w:val="00E06510"/>
    <w:rsid w:val="00E068E5"/>
    <w:rsid w:val="00E13CE2"/>
    <w:rsid w:val="00E13DD6"/>
    <w:rsid w:val="00E21173"/>
    <w:rsid w:val="00E23338"/>
    <w:rsid w:val="00E246DE"/>
    <w:rsid w:val="00E24802"/>
    <w:rsid w:val="00E30A1B"/>
    <w:rsid w:val="00E323A6"/>
    <w:rsid w:val="00E41B4B"/>
    <w:rsid w:val="00E4326B"/>
    <w:rsid w:val="00E43F86"/>
    <w:rsid w:val="00E52A70"/>
    <w:rsid w:val="00E5302C"/>
    <w:rsid w:val="00E5624D"/>
    <w:rsid w:val="00E61BE2"/>
    <w:rsid w:val="00E72FF1"/>
    <w:rsid w:val="00E73518"/>
    <w:rsid w:val="00E743AE"/>
    <w:rsid w:val="00E82753"/>
    <w:rsid w:val="00E82DE1"/>
    <w:rsid w:val="00E83F75"/>
    <w:rsid w:val="00E85EDD"/>
    <w:rsid w:val="00E92D87"/>
    <w:rsid w:val="00E95ACC"/>
    <w:rsid w:val="00E95E8E"/>
    <w:rsid w:val="00E95F75"/>
    <w:rsid w:val="00EB465E"/>
    <w:rsid w:val="00EB5A73"/>
    <w:rsid w:val="00EC17D4"/>
    <w:rsid w:val="00EC2FAC"/>
    <w:rsid w:val="00EC7E3D"/>
    <w:rsid w:val="00EC7FF3"/>
    <w:rsid w:val="00ED250A"/>
    <w:rsid w:val="00ED3507"/>
    <w:rsid w:val="00EE3BD1"/>
    <w:rsid w:val="00EE4274"/>
    <w:rsid w:val="00EE65EC"/>
    <w:rsid w:val="00F04621"/>
    <w:rsid w:val="00F14B82"/>
    <w:rsid w:val="00F17023"/>
    <w:rsid w:val="00F24051"/>
    <w:rsid w:val="00F253CE"/>
    <w:rsid w:val="00F318BA"/>
    <w:rsid w:val="00F33681"/>
    <w:rsid w:val="00F41DA4"/>
    <w:rsid w:val="00F43588"/>
    <w:rsid w:val="00F47216"/>
    <w:rsid w:val="00F65A23"/>
    <w:rsid w:val="00F65B7E"/>
    <w:rsid w:val="00F67184"/>
    <w:rsid w:val="00F7095A"/>
    <w:rsid w:val="00F7474B"/>
    <w:rsid w:val="00F75E91"/>
    <w:rsid w:val="00F76003"/>
    <w:rsid w:val="00F7777E"/>
    <w:rsid w:val="00F825E3"/>
    <w:rsid w:val="00F82ED7"/>
    <w:rsid w:val="00F85A23"/>
    <w:rsid w:val="00F87E89"/>
    <w:rsid w:val="00F90364"/>
    <w:rsid w:val="00F90D8B"/>
    <w:rsid w:val="00F94D68"/>
    <w:rsid w:val="00FA01B1"/>
    <w:rsid w:val="00FA0D20"/>
    <w:rsid w:val="00FA38C3"/>
    <w:rsid w:val="00FA3DE5"/>
    <w:rsid w:val="00FA793E"/>
    <w:rsid w:val="00FB2287"/>
    <w:rsid w:val="00FB354B"/>
    <w:rsid w:val="00FC034A"/>
    <w:rsid w:val="00FC727D"/>
    <w:rsid w:val="00FC7996"/>
    <w:rsid w:val="00FD204B"/>
    <w:rsid w:val="00FE163E"/>
    <w:rsid w:val="00FE23EB"/>
    <w:rsid w:val="00FE23FE"/>
    <w:rsid w:val="00FE4996"/>
    <w:rsid w:val="00FE53DD"/>
    <w:rsid w:val="00FF7D6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F444"/>
  <w15:chartTrackingRefBased/>
  <w15:docId w15:val="{61EA082B-11DA-433E-8D55-69BB2A46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7D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0E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49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8268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B792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313"/>
    <w:pPr>
      <w:ind w:left="720"/>
      <w:contextualSpacing/>
    </w:pPr>
  </w:style>
  <w:style w:type="character" w:customStyle="1" w:styleId="Heading1Char">
    <w:name w:val="Heading 1 Char"/>
    <w:basedOn w:val="DefaultParagraphFont"/>
    <w:link w:val="Heading1"/>
    <w:uiPriority w:val="9"/>
    <w:rsid w:val="00B87D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7D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C0E5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E499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8268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B792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19AE-11B8-4418-9428-9CD434AA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7444</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Balani</dc:creator>
  <cp:keywords/>
  <dc:description/>
  <cp:lastModifiedBy>Anoj Chhetri</cp:lastModifiedBy>
  <cp:revision>2</cp:revision>
  <dcterms:created xsi:type="dcterms:W3CDTF">2026-01-14T14:37:00Z</dcterms:created>
  <dcterms:modified xsi:type="dcterms:W3CDTF">2026-01-14T14:37:00Z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b2f5bc13-5c8f-31ff-836f-dec63ff95e1e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